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A4189" w14:textId="5F3A9E22" w:rsidR="003F3A41" w:rsidRPr="007C5999" w:rsidRDefault="007B59C1" w:rsidP="00A57D36">
      <w:pPr>
        <w:pStyle w:val="WPnumber"/>
      </w:pPr>
      <w:bookmarkStart w:id="0" w:name="_Toc153189647"/>
      <w:bookmarkStart w:id="1" w:name="_Toc214003082"/>
      <w:r>
        <w:t xml:space="preserve">Short Form </w:t>
      </w:r>
      <w:r w:rsidR="00A57D36" w:rsidRPr="007C5999">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t>PGECOPUM102</w:t>
          </w:r>
        </w:sdtContent>
      </w:sdt>
    </w:p>
    <w:bookmarkEnd w:id="0"/>
    <w:p w14:paraId="39913F82" w14:textId="7C82A0C9" w:rsidR="007B59C1" w:rsidRPr="007B59C1" w:rsidRDefault="00497FD2" w:rsidP="007B59C1">
      <w:pPr>
        <w:pStyle w:val="Revnumbe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7C5999">
            <w:rPr>
              <w:rStyle w:val="CaptionChar"/>
              <w:rFonts w:asciiTheme="minorHAnsi" w:hAnsiTheme="minorHAnsi" w:cstheme="minorHAnsi"/>
              <w:b/>
              <w:bCs w:val="0"/>
              <w:sz w:val="48"/>
              <w:szCs w:val="48"/>
            </w:rPr>
            <w:t xml:space="preserve">Revision </w:t>
          </w:r>
          <w:r w:rsidR="007B59C1">
            <w:rPr>
              <w:rStyle w:val="CaptionChar"/>
              <w:rFonts w:asciiTheme="minorHAnsi" w:hAnsiTheme="minorHAnsi" w:cstheme="minorHAnsi"/>
              <w:b/>
              <w:bCs w:val="0"/>
              <w:sz w:val="48"/>
              <w:szCs w:val="48"/>
            </w:rPr>
            <w:t>8</w:t>
          </w:r>
        </w:sdtContent>
      </w:sdt>
    </w:p>
    <w:p w14:paraId="143E203E" w14:textId="77777777" w:rsidR="007B59C1" w:rsidRDefault="007B59C1" w:rsidP="007B59C1"/>
    <w:p w14:paraId="2E679EFA" w14:textId="77777777" w:rsidR="007B59C1" w:rsidRDefault="007B59C1" w:rsidP="007B59C1"/>
    <w:p w14:paraId="584A95FD" w14:textId="77777777" w:rsidR="007B59C1" w:rsidRPr="002E0043" w:rsidRDefault="007B59C1" w:rsidP="007B59C1">
      <w:pPr>
        <w:pBdr>
          <w:bottom w:val="single" w:sz="4" w:space="1" w:color="auto"/>
        </w:pBdr>
        <w:rPr>
          <w:rFonts w:ascii="Arial" w:hAnsi="Arial" w:cs="Arial"/>
          <w:b/>
          <w:sz w:val="36"/>
          <w:szCs w:val="36"/>
        </w:rPr>
      </w:pPr>
      <w:r>
        <w:rPr>
          <w:rFonts w:ascii="Arial" w:hAnsi="Arial" w:cs="Arial"/>
          <w:b/>
          <w:sz w:val="36"/>
          <w:szCs w:val="36"/>
        </w:rPr>
        <w:t>Pacific Gas &amp; Electric Company</w:t>
      </w:r>
    </w:p>
    <w:p w14:paraId="4068FB74" w14:textId="77777777" w:rsidR="007B59C1" w:rsidRPr="002E0043" w:rsidRDefault="007B59C1" w:rsidP="007B59C1">
      <w:pPr>
        <w:rPr>
          <w:rFonts w:ascii="Arial" w:hAnsi="Arial" w:cs="Arial"/>
          <w:b/>
          <w:sz w:val="32"/>
          <w:szCs w:val="32"/>
        </w:rPr>
      </w:pPr>
      <w:r>
        <w:rPr>
          <w:rFonts w:ascii="Arial" w:hAnsi="Arial" w:cs="Arial"/>
          <w:b/>
          <w:sz w:val="32"/>
          <w:szCs w:val="32"/>
        </w:rPr>
        <w:t>Customer Energy Efficiency Department</w:t>
      </w:r>
    </w:p>
    <w:p w14:paraId="1683643D" w14:textId="77777777" w:rsidR="007B59C1" w:rsidRDefault="007B59C1" w:rsidP="007B59C1"/>
    <w:p w14:paraId="60207E55" w14:textId="1721ECEE" w:rsidR="00DA690B" w:rsidRPr="007C5999" w:rsidRDefault="00DA690B" w:rsidP="009D0753">
      <w:pPr>
        <w:tabs>
          <w:tab w:val="left" w:pos="8190"/>
        </w:tabs>
        <w:rPr>
          <w:rFonts w:cstheme="minorHAnsi"/>
        </w:rPr>
      </w:pPr>
    </w:p>
    <w:p w14:paraId="599B65A2" w14:textId="77777777" w:rsidR="00DA690B" w:rsidRPr="007C5999" w:rsidRDefault="00DA690B" w:rsidP="00DA690B">
      <w:pPr>
        <w:rPr>
          <w:rFonts w:cstheme="minorHAnsi"/>
        </w:rPr>
      </w:pPr>
    </w:p>
    <w:p w14:paraId="3996E120" w14:textId="77777777" w:rsidR="00DA690B" w:rsidRPr="007C5999" w:rsidRDefault="00DA690B" w:rsidP="00DA690B">
      <w:pPr>
        <w:rPr>
          <w:rFonts w:cstheme="minorHAnsi"/>
        </w:rPr>
      </w:pPr>
    </w:p>
    <w:p w14:paraId="6C476A54" w14:textId="77777777" w:rsidR="00DA690B" w:rsidRPr="007C5999" w:rsidRDefault="00DA690B" w:rsidP="00DA690B">
      <w:pPr>
        <w:rPr>
          <w:rFonts w:cstheme="minorHAnsi"/>
        </w:rPr>
      </w:pPr>
    </w:p>
    <w:p w14:paraId="0AC71354" w14:textId="77777777" w:rsidR="00DA690B" w:rsidRPr="007C5999" w:rsidRDefault="00DA690B" w:rsidP="00DA690B">
      <w:pPr>
        <w:rPr>
          <w:rFonts w:cstheme="minorHAnsi"/>
        </w:rPr>
      </w:pPr>
    </w:p>
    <w:p w14:paraId="123D25E8" w14:textId="77777777" w:rsidR="00DA690B" w:rsidRPr="007C5999" w:rsidRDefault="00DA690B" w:rsidP="00DA690B">
      <w:pPr>
        <w:rPr>
          <w:rFonts w:cstheme="minorHAnsi"/>
        </w:rPr>
      </w:pPr>
    </w:p>
    <w:p w14:paraId="4EE3E516" w14:textId="77777777" w:rsidR="00DA690B" w:rsidRPr="007C5999" w:rsidRDefault="008C2258" w:rsidP="00DA690B">
      <w:pPr>
        <w:rPr>
          <w:rFonts w:cstheme="minorHAnsi"/>
          <w:b/>
          <w:sz w:val="72"/>
          <w:szCs w:val="72"/>
        </w:rPr>
      </w:pPr>
      <w:r w:rsidRPr="007C5999">
        <w:rPr>
          <w:rFonts w:cstheme="minorHAnsi"/>
          <w:b/>
          <w:sz w:val="72"/>
          <w:szCs w:val="72"/>
        </w:rPr>
        <w:t>Residential Variable Speed Pool Pumps</w:t>
      </w:r>
      <w:r w:rsidR="007A5E23" w:rsidRPr="007C5999">
        <w:rPr>
          <w:rFonts w:cstheme="minorHAnsi"/>
          <w:b/>
          <w:sz w:val="72"/>
          <w:szCs w:val="72"/>
        </w:rPr>
        <w:t xml:space="preserve"> </w:t>
      </w:r>
    </w:p>
    <w:p w14:paraId="71FDEB8E" w14:textId="6C4945A8" w:rsidR="007B59C1" w:rsidRPr="00A219BD" w:rsidRDefault="007B59C1" w:rsidP="007B59C1">
      <w:pPr>
        <w:ind w:right="-720"/>
        <w:rPr>
          <w:rFonts w:ascii="Arial" w:hAnsi="Arial" w:cs="Arial"/>
          <w:b/>
        </w:rPr>
      </w:pPr>
      <w:r w:rsidRPr="003B1A6E">
        <w:rPr>
          <w:rFonts w:ascii="Arial" w:hAnsi="Arial" w:cs="Arial"/>
          <w:b/>
        </w:rPr>
        <w:t>Measure Cod</w:t>
      </w:r>
      <w:r w:rsidRPr="00A219BD">
        <w:rPr>
          <w:rFonts w:ascii="Arial" w:hAnsi="Arial" w:cs="Arial"/>
          <w:b/>
        </w:rPr>
        <w:t xml:space="preserve">e </w:t>
      </w:r>
      <w:r w:rsidR="00A219BD" w:rsidRPr="00A219BD">
        <w:rPr>
          <w:rFonts w:ascii="Arial" w:hAnsi="Arial" w:cs="Arial"/>
          <w:b/>
        </w:rPr>
        <w:t>PL001</w:t>
      </w:r>
    </w:p>
    <w:p w14:paraId="60E1428D" w14:textId="77777777" w:rsidR="00523736" w:rsidRPr="00DB21D0" w:rsidRDefault="00523736" w:rsidP="00E76B31">
      <w:pPr>
        <w:pStyle w:val="Reminders"/>
        <w:rPr>
          <w:rFonts w:asciiTheme="minorHAnsi" w:hAnsiTheme="minorHAnsi" w:cstheme="minorHAnsi"/>
          <w:b/>
          <w:i w:val="0"/>
          <w:color w:val="auto"/>
          <w:sz w:val="32"/>
          <w:szCs w:val="22"/>
        </w:rPr>
        <w:sectPr w:rsidR="00523736" w:rsidRPr="00DB21D0">
          <w:footerReference w:type="default" r:id="rId12"/>
          <w:pgSz w:w="12240" w:h="15840"/>
          <w:pgMar w:top="1440" w:right="1440" w:bottom="1440" w:left="1440" w:header="720" w:footer="720" w:gutter="0"/>
          <w:cols w:space="720"/>
          <w:docGrid w:linePitch="360"/>
        </w:sectPr>
      </w:pPr>
    </w:p>
    <w:p w14:paraId="3FD44A04" w14:textId="77777777" w:rsidR="00787951" w:rsidRDefault="00787951" w:rsidP="00DD5DE0">
      <w:pPr>
        <w:pStyle w:val="Heading1"/>
      </w:pPr>
      <w:bookmarkStart w:id="2" w:name="_Toc304800192"/>
      <w:bookmarkStart w:id="3" w:name="_Toc324318330"/>
      <w:bookmarkStart w:id="4" w:name="_Toc324340474"/>
      <w:bookmarkStart w:id="5" w:name="_Toc324433427"/>
    </w:p>
    <w:p w14:paraId="4E28567E" w14:textId="77777777" w:rsidR="00787951" w:rsidRDefault="00787951" w:rsidP="00DD5DE0">
      <w:pPr>
        <w:pStyle w:val="Heading1"/>
      </w:pPr>
    </w:p>
    <w:p w14:paraId="2A24B054" w14:textId="1B6992C5" w:rsidR="00DD5DE0" w:rsidRDefault="00DD5DE0" w:rsidP="00DD5DE0">
      <w:pPr>
        <w:pStyle w:val="Heading1"/>
      </w:pPr>
      <w:r>
        <w:t>SCE Residential Variable Speed Pool Pumps</w:t>
      </w:r>
    </w:p>
    <w:p w14:paraId="5C8D46BA" w14:textId="77777777" w:rsidR="00DD5DE0" w:rsidRDefault="00DD5DE0" w:rsidP="00DD5DE0">
      <w:pPr>
        <w:pStyle w:val="Heading2"/>
      </w:pPr>
      <w:r>
        <w:t>Introduction</w:t>
      </w:r>
    </w:p>
    <w:p w14:paraId="45B78437" w14:textId="476A1717" w:rsidR="00DD5DE0" w:rsidRDefault="00DD5DE0" w:rsidP="00DD5DE0">
      <w:pPr>
        <w:jc w:val="both"/>
      </w:pPr>
      <w:r>
        <w:t>This short form workpaper documents (WP) the values adopted from SCE’s WP entitled “Residential Variable Speed Pool Pumps” (</w:t>
      </w:r>
      <w:bookmarkStart w:id="6" w:name="_GoBack"/>
      <w:bookmarkEnd w:id="6"/>
      <w:r w:rsidR="0041281F">
        <w:t>SCE17WP001.1</w:t>
      </w:r>
      <w:r w:rsidRPr="00DD5DE0">
        <w:t xml:space="preserve"> - Residential Pool Pump VFD_Final.docx</w:t>
      </w:r>
      <w:r>
        <w:t xml:space="preserve">).  PG&amp;E adopts Measure A (PM-78394) under </w:t>
      </w:r>
      <w:r w:rsidR="00CC3E60">
        <w:t xml:space="preserve">direct-install, down-stream incentive, and </w:t>
      </w:r>
      <w:r>
        <w:t>mid-stream incentive buy down method</w:t>
      </w:r>
      <w:r w:rsidR="00CC3E60">
        <w:t>s</w:t>
      </w:r>
      <w:r>
        <w:t xml:space="preserve"> for </w:t>
      </w:r>
      <w:r w:rsidR="003F45B4">
        <w:t>vintage</w:t>
      </w:r>
      <w:r w:rsidR="00BA33EF">
        <w:t xml:space="preserve"> type “Any” within</w:t>
      </w:r>
      <w:bookmarkStart w:id="7" w:name="_Hlk536459207"/>
      <w:r w:rsidR="00996913">
        <w:t xml:space="preserve"> the residential sector. </w:t>
      </w:r>
      <w:r w:rsidR="0041281F">
        <w:t>Measure A (PM-78394) includes calculations for single family homes</w:t>
      </w:r>
      <w:bookmarkEnd w:id="7"/>
      <w:r w:rsidR="00996913">
        <w:t xml:space="preserve">. </w:t>
      </w:r>
      <w:r w:rsidR="0041281F">
        <w:t>Per CPUC memo dated 1/28/2019, SCE’s Pool pump WP SCE17WP001 Rev 1 is approved for normal replacement application type for claims starting 1/1/2018 with an expiration date of 12/31/2019.</w:t>
      </w:r>
      <w:r>
        <w:t xml:space="preserve"> </w:t>
      </w:r>
    </w:p>
    <w:p w14:paraId="2A51730B" w14:textId="77777777" w:rsidR="00BA33EF" w:rsidRDefault="00BA33EF" w:rsidP="00DD5DE0">
      <w:pPr>
        <w:jc w:val="both"/>
      </w:pPr>
    </w:p>
    <w:p w14:paraId="44D7D7F7" w14:textId="77777777" w:rsidR="00BA33EF" w:rsidRDefault="00BA33EF" w:rsidP="00DD5DE0">
      <w:pPr>
        <w:jc w:val="both"/>
      </w:pPr>
      <w:r>
        <w:t xml:space="preserve">This adoption also requires the retirement of PGECOPUM102 R7 measures: </w:t>
      </w:r>
    </w:p>
    <w:p w14:paraId="5AB48AD4" w14:textId="29F77020" w:rsidR="00BA33EF" w:rsidRDefault="00BA33EF" w:rsidP="00BA33EF">
      <w:pPr>
        <w:pStyle w:val="ListParagraph"/>
        <w:numPr>
          <w:ilvl w:val="0"/>
          <w:numId w:val="25"/>
        </w:numPr>
        <w:jc w:val="both"/>
      </w:pPr>
      <w:r>
        <w:t>P107</w:t>
      </w:r>
      <w:r w:rsidR="00873C62">
        <w:t xml:space="preserve"> – Variable Speed or Variable Flow Pool Pump </w:t>
      </w:r>
    </w:p>
    <w:p w14:paraId="11B73E99" w14:textId="006125E5" w:rsidR="00BA33EF" w:rsidRDefault="00BA33EF" w:rsidP="00BA33EF">
      <w:pPr>
        <w:pStyle w:val="ListParagraph"/>
        <w:numPr>
          <w:ilvl w:val="0"/>
          <w:numId w:val="25"/>
        </w:numPr>
        <w:jc w:val="both"/>
      </w:pPr>
      <w:r>
        <w:t>P108</w:t>
      </w:r>
      <w:r w:rsidR="00873C62">
        <w:t xml:space="preserve"> – Variable Speed Pool Pump Motor </w:t>
      </w:r>
    </w:p>
    <w:p w14:paraId="39CBECB8" w14:textId="77777777" w:rsidR="00DD5DE0" w:rsidRDefault="00DD5DE0" w:rsidP="00DD5DE0">
      <w:pPr>
        <w:jc w:val="both"/>
      </w:pPr>
    </w:p>
    <w:p w14:paraId="5F451008" w14:textId="77777777" w:rsidR="00DD5DE0" w:rsidRDefault="00DD5DE0" w:rsidP="00DD5DE0">
      <w:pPr>
        <w:pStyle w:val="Heading2"/>
      </w:pPr>
      <w:r w:rsidRPr="005734A4">
        <w:t>Document Revision History</w:t>
      </w:r>
      <w:r w:rsidRPr="0025216C">
        <w:t xml:space="preserve"> </w:t>
      </w:r>
    </w:p>
    <w:tbl>
      <w:tblPr>
        <w:tblStyle w:val="TableGrid11"/>
        <w:tblW w:w="4998" w:type="pct"/>
        <w:tblLayout w:type="fixed"/>
        <w:tblLook w:val="01E0" w:firstRow="1" w:lastRow="1" w:firstColumn="1" w:lastColumn="1" w:noHBand="0" w:noVBand="0"/>
      </w:tblPr>
      <w:tblGrid>
        <w:gridCol w:w="626"/>
        <w:gridCol w:w="1320"/>
        <w:gridCol w:w="2202"/>
        <w:gridCol w:w="5198"/>
      </w:tblGrid>
      <w:tr w:rsidR="00873C62" w:rsidRPr="00500C4E" w14:paraId="64C926CC" w14:textId="77777777" w:rsidTr="00A219BD">
        <w:trPr>
          <w:trHeight w:val="20"/>
        </w:trPr>
        <w:tc>
          <w:tcPr>
            <w:tcW w:w="335" w:type="pct"/>
            <w:shd w:val="clear" w:color="auto" w:fill="D9D9D9" w:themeFill="background1" w:themeFillShade="D9"/>
          </w:tcPr>
          <w:p w14:paraId="7784DDCB" w14:textId="77777777" w:rsidR="00DD5DE0" w:rsidRPr="000E2B6B" w:rsidRDefault="00DD5DE0" w:rsidP="00B23AD1">
            <w:pPr>
              <w:rPr>
                <w:rStyle w:val="Strong"/>
                <w:bCs w:val="0"/>
              </w:rPr>
            </w:pPr>
            <w:r w:rsidRPr="000E2B6B">
              <w:rPr>
                <w:rStyle w:val="Strong"/>
              </w:rPr>
              <w:t>Rev</w:t>
            </w:r>
          </w:p>
        </w:tc>
        <w:tc>
          <w:tcPr>
            <w:tcW w:w="706" w:type="pct"/>
            <w:shd w:val="clear" w:color="auto" w:fill="D9D9D9" w:themeFill="background1" w:themeFillShade="D9"/>
          </w:tcPr>
          <w:p w14:paraId="3F3D9B40" w14:textId="77777777" w:rsidR="00DD5DE0" w:rsidRPr="000E2B6B" w:rsidRDefault="00DD5DE0" w:rsidP="00B23AD1">
            <w:pPr>
              <w:rPr>
                <w:rStyle w:val="Strong"/>
                <w:bCs w:val="0"/>
              </w:rPr>
            </w:pPr>
            <w:r w:rsidRPr="000E2B6B">
              <w:rPr>
                <w:rStyle w:val="Strong"/>
              </w:rPr>
              <w:t>Date</w:t>
            </w:r>
          </w:p>
        </w:tc>
        <w:tc>
          <w:tcPr>
            <w:tcW w:w="1178" w:type="pct"/>
            <w:shd w:val="clear" w:color="auto" w:fill="D9D9D9" w:themeFill="background1" w:themeFillShade="D9"/>
          </w:tcPr>
          <w:p w14:paraId="3979AC4F" w14:textId="77777777" w:rsidR="00DD5DE0" w:rsidRPr="000E2B6B" w:rsidRDefault="00DD5DE0" w:rsidP="00B23AD1">
            <w:pPr>
              <w:rPr>
                <w:rStyle w:val="Strong"/>
                <w:bCs w:val="0"/>
              </w:rPr>
            </w:pPr>
            <w:r w:rsidRPr="000E2B6B">
              <w:rPr>
                <w:rStyle w:val="Strong"/>
              </w:rPr>
              <w:t>Author</w:t>
            </w:r>
          </w:p>
        </w:tc>
        <w:tc>
          <w:tcPr>
            <w:tcW w:w="2781" w:type="pct"/>
            <w:shd w:val="clear" w:color="auto" w:fill="D9D9D9" w:themeFill="background1" w:themeFillShade="D9"/>
          </w:tcPr>
          <w:p w14:paraId="0BD4262C" w14:textId="77777777" w:rsidR="00DD5DE0" w:rsidRPr="000E2B6B" w:rsidRDefault="00DD5DE0" w:rsidP="00B23AD1">
            <w:pPr>
              <w:rPr>
                <w:rStyle w:val="Strong"/>
                <w:bCs w:val="0"/>
              </w:rPr>
            </w:pPr>
            <w:r w:rsidRPr="000E2B6B">
              <w:rPr>
                <w:rStyle w:val="Strong"/>
              </w:rPr>
              <w:t>Summary of Changes</w:t>
            </w:r>
          </w:p>
        </w:tc>
      </w:tr>
      <w:tr w:rsidR="0006670A" w:rsidRPr="00500C4E" w14:paraId="7589B497" w14:textId="77777777" w:rsidTr="00A219BD">
        <w:trPr>
          <w:trHeight w:val="20"/>
        </w:trPr>
        <w:tc>
          <w:tcPr>
            <w:tcW w:w="335" w:type="pct"/>
          </w:tcPr>
          <w:p w14:paraId="13E23E86" w14:textId="70CCDD53" w:rsidR="0006670A" w:rsidRPr="000E2B6B" w:rsidRDefault="0006670A" w:rsidP="00B23AD1">
            <w:pPr>
              <w:jc w:val="center"/>
              <w:rPr>
                <w:rFonts w:cstheme="minorHAnsi"/>
                <w:szCs w:val="20"/>
              </w:rPr>
            </w:pPr>
            <w:r w:rsidRPr="00532D0A">
              <w:rPr>
                <w:bCs/>
                <w:szCs w:val="20"/>
              </w:rPr>
              <w:t>0</w:t>
            </w:r>
          </w:p>
        </w:tc>
        <w:tc>
          <w:tcPr>
            <w:tcW w:w="706" w:type="pct"/>
          </w:tcPr>
          <w:p w14:paraId="6985490F" w14:textId="2C3840E7" w:rsidR="0006670A" w:rsidRPr="0006670A" w:rsidRDefault="0006670A" w:rsidP="00B23AD1">
            <w:pPr>
              <w:jc w:val="center"/>
              <w:rPr>
                <w:rFonts w:cstheme="minorHAnsi"/>
                <w:szCs w:val="20"/>
              </w:rPr>
            </w:pPr>
            <w:r w:rsidRPr="0006670A">
              <w:rPr>
                <w:bCs/>
                <w:szCs w:val="20"/>
              </w:rPr>
              <w:t>03/31/08</w:t>
            </w:r>
          </w:p>
        </w:tc>
        <w:tc>
          <w:tcPr>
            <w:tcW w:w="1178" w:type="pct"/>
          </w:tcPr>
          <w:p w14:paraId="3950AEFF" w14:textId="08D88210" w:rsidR="0006670A" w:rsidRPr="0006670A" w:rsidRDefault="0006670A" w:rsidP="00B23AD1">
            <w:pPr>
              <w:rPr>
                <w:rFonts w:cstheme="minorHAnsi"/>
                <w:szCs w:val="20"/>
              </w:rPr>
            </w:pPr>
            <w:r w:rsidRPr="0006670A">
              <w:rPr>
                <w:bCs/>
                <w:szCs w:val="20"/>
              </w:rPr>
              <w:t>Gary Fernstrom</w:t>
            </w:r>
            <w:r>
              <w:rPr>
                <w:bCs/>
                <w:szCs w:val="20"/>
              </w:rPr>
              <w:t xml:space="preserve"> (</w:t>
            </w:r>
            <w:r w:rsidRPr="0006670A">
              <w:rPr>
                <w:bCs/>
                <w:szCs w:val="20"/>
              </w:rPr>
              <w:t>PG&amp;E</w:t>
            </w:r>
            <w:r>
              <w:rPr>
                <w:bCs/>
                <w:szCs w:val="20"/>
              </w:rPr>
              <w:t>)</w:t>
            </w:r>
          </w:p>
        </w:tc>
        <w:tc>
          <w:tcPr>
            <w:tcW w:w="2781" w:type="pct"/>
          </w:tcPr>
          <w:p w14:paraId="675651B7" w14:textId="4C53622A" w:rsidR="0006670A" w:rsidRPr="005734A4" w:rsidRDefault="0006670A" w:rsidP="00B23AD1">
            <w:pPr>
              <w:rPr>
                <w:rFonts w:cstheme="minorHAnsi"/>
                <w:szCs w:val="20"/>
              </w:rPr>
            </w:pPr>
            <w:r w:rsidRPr="00532D0A">
              <w:rPr>
                <w:bCs/>
                <w:szCs w:val="20"/>
              </w:rPr>
              <w:t>Variable Speed Pool Pump PGECOPUM107 R0.doc</w:t>
            </w:r>
          </w:p>
        </w:tc>
      </w:tr>
      <w:tr w:rsidR="0006670A" w:rsidRPr="00500C4E" w14:paraId="535FB145" w14:textId="77777777" w:rsidTr="00A219BD">
        <w:trPr>
          <w:trHeight w:val="20"/>
        </w:trPr>
        <w:tc>
          <w:tcPr>
            <w:tcW w:w="335" w:type="pct"/>
          </w:tcPr>
          <w:p w14:paraId="3EE20043" w14:textId="41B250A7" w:rsidR="0006670A" w:rsidRPr="000E2B6B" w:rsidRDefault="0006670A" w:rsidP="00B23AD1">
            <w:pPr>
              <w:jc w:val="center"/>
              <w:rPr>
                <w:rStyle w:val="Strong"/>
                <w:b w:val="0"/>
              </w:rPr>
            </w:pPr>
            <w:r w:rsidRPr="00532D0A">
              <w:t>1</w:t>
            </w:r>
          </w:p>
        </w:tc>
        <w:tc>
          <w:tcPr>
            <w:tcW w:w="706" w:type="pct"/>
          </w:tcPr>
          <w:p w14:paraId="7F30EA78" w14:textId="79BB82C1" w:rsidR="0006670A" w:rsidRPr="000E2B6B" w:rsidRDefault="0006670A" w:rsidP="00B23AD1">
            <w:pPr>
              <w:jc w:val="center"/>
              <w:rPr>
                <w:rStyle w:val="Strong"/>
                <w:b w:val="0"/>
              </w:rPr>
            </w:pPr>
            <w:r w:rsidRPr="00532D0A">
              <w:rPr>
                <w:szCs w:val="20"/>
              </w:rPr>
              <w:t>4/27/09</w:t>
            </w:r>
          </w:p>
        </w:tc>
        <w:tc>
          <w:tcPr>
            <w:tcW w:w="1178" w:type="pct"/>
          </w:tcPr>
          <w:p w14:paraId="129FFF86" w14:textId="092E109A" w:rsidR="0006670A" w:rsidRPr="000E2B6B" w:rsidRDefault="0006670A" w:rsidP="0006670A">
            <w:pPr>
              <w:rPr>
                <w:rStyle w:val="Strong"/>
                <w:b w:val="0"/>
              </w:rPr>
            </w:pPr>
            <w:r>
              <w:rPr>
                <w:bCs/>
                <w:szCs w:val="20"/>
              </w:rPr>
              <w:t>Lianne Williams (PG&amp;E)</w:t>
            </w:r>
          </w:p>
        </w:tc>
        <w:tc>
          <w:tcPr>
            <w:tcW w:w="2781" w:type="pct"/>
          </w:tcPr>
          <w:p w14:paraId="1F1A69F5" w14:textId="35E9CE9C" w:rsidR="0006670A" w:rsidRPr="00762D81" w:rsidRDefault="0006670A" w:rsidP="00B23AD1">
            <w:pPr>
              <w:rPr>
                <w:rStyle w:val="Strong"/>
                <w:b w:val="0"/>
                <w:szCs w:val="20"/>
              </w:rPr>
            </w:pPr>
            <w:r w:rsidRPr="00532D0A">
              <w:rPr>
                <w:bCs/>
                <w:szCs w:val="20"/>
              </w:rPr>
              <w:t>Variable Speed Pool Pump PGECOPUM102 R1.doc</w:t>
            </w:r>
          </w:p>
        </w:tc>
      </w:tr>
      <w:tr w:rsidR="0006670A" w:rsidRPr="00500C4E" w14:paraId="76CF7A04" w14:textId="77777777" w:rsidTr="00A219BD">
        <w:trPr>
          <w:trHeight w:val="20"/>
        </w:trPr>
        <w:tc>
          <w:tcPr>
            <w:tcW w:w="335" w:type="pct"/>
          </w:tcPr>
          <w:p w14:paraId="0445778A" w14:textId="7FA6EBD5" w:rsidR="0006670A" w:rsidRPr="00F2079F" w:rsidRDefault="0006670A" w:rsidP="00B23AD1">
            <w:pPr>
              <w:jc w:val="center"/>
            </w:pPr>
            <w:r w:rsidRPr="00532D0A">
              <w:rPr>
                <w:bCs/>
                <w:szCs w:val="20"/>
              </w:rPr>
              <w:t>2</w:t>
            </w:r>
          </w:p>
        </w:tc>
        <w:tc>
          <w:tcPr>
            <w:tcW w:w="706" w:type="pct"/>
          </w:tcPr>
          <w:p w14:paraId="78079676" w14:textId="63E32834" w:rsidR="0006670A" w:rsidRDefault="0006670A" w:rsidP="00B23AD1">
            <w:pPr>
              <w:jc w:val="center"/>
              <w:rPr>
                <w:szCs w:val="20"/>
              </w:rPr>
            </w:pPr>
            <w:r w:rsidRPr="00532D0A">
              <w:rPr>
                <w:bCs/>
                <w:szCs w:val="20"/>
              </w:rPr>
              <w:t>3/15/10</w:t>
            </w:r>
          </w:p>
        </w:tc>
        <w:tc>
          <w:tcPr>
            <w:tcW w:w="1178" w:type="pct"/>
          </w:tcPr>
          <w:p w14:paraId="562428F3" w14:textId="0381BE68" w:rsidR="0006670A" w:rsidRDefault="0006670A" w:rsidP="00B23AD1">
            <w:pPr>
              <w:rPr>
                <w:szCs w:val="20"/>
              </w:rPr>
            </w:pPr>
            <w:r w:rsidRPr="002D14EF">
              <w:rPr>
                <w:bCs/>
                <w:szCs w:val="20"/>
              </w:rPr>
              <w:t>Alina Zohrabian (PG&amp;E)</w:t>
            </w:r>
          </w:p>
        </w:tc>
        <w:tc>
          <w:tcPr>
            <w:tcW w:w="2781" w:type="pct"/>
          </w:tcPr>
          <w:p w14:paraId="4443C453" w14:textId="65A7F8FB" w:rsidR="0006670A" w:rsidRPr="006A478E" w:rsidRDefault="0006670A" w:rsidP="00B23AD1">
            <w:pPr>
              <w:rPr>
                <w:bCs/>
                <w:szCs w:val="20"/>
              </w:rPr>
            </w:pPr>
            <w:r w:rsidRPr="00532D0A">
              <w:rPr>
                <w:bCs/>
                <w:szCs w:val="20"/>
              </w:rPr>
              <w:t>Variable Speed Pool Pump PGECOPUM102 R2.doc</w:t>
            </w:r>
          </w:p>
        </w:tc>
      </w:tr>
      <w:tr w:rsidR="0006670A" w:rsidRPr="00500C4E" w14:paraId="0A3DE9E5" w14:textId="77777777" w:rsidTr="00A219BD">
        <w:trPr>
          <w:trHeight w:val="20"/>
        </w:trPr>
        <w:tc>
          <w:tcPr>
            <w:tcW w:w="335" w:type="pct"/>
          </w:tcPr>
          <w:p w14:paraId="7E29BC38" w14:textId="603C2D69" w:rsidR="0006670A" w:rsidRPr="00F2079F" w:rsidRDefault="0006670A" w:rsidP="00B23AD1">
            <w:pPr>
              <w:jc w:val="center"/>
            </w:pPr>
            <w:r w:rsidRPr="00532D0A">
              <w:rPr>
                <w:bCs/>
                <w:szCs w:val="20"/>
              </w:rPr>
              <w:t>3</w:t>
            </w:r>
          </w:p>
        </w:tc>
        <w:tc>
          <w:tcPr>
            <w:tcW w:w="706" w:type="pct"/>
          </w:tcPr>
          <w:p w14:paraId="2226B4D2" w14:textId="0E06DB0E" w:rsidR="0006670A" w:rsidRDefault="0006670A" w:rsidP="00B23AD1">
            <w:pPr>
              <w:jc w:val="center"/>
              <w:rPr>
                <w:szCs w:val="20"/>
              </w:rPr>
            </w:pPr>
            <w:r w:rsidRPr="00532D0A">
              <w:rPr>
                <w:bCs/>
                <w:szCs w:val="20"/>
              </w:rPr>
              <w:t>6/21/10</w:t>
            </w:r>
          </w:p>
        </w:tc>
        <w:tc>
          <w:tcPr>
            <w:tcW w:w="1178" w:type="pct"/>
          </w:tcPr>
          <w:p w14:paraId="41F39529" w14:textId="715A9F89" w:rsidR="0006670A" w:rsidRDefault="0006670A" w:rsidP="00B23AD1">
            <w:pPr>
              <w:rPr>
                <w:szCs w:val="20"/>
              </w:rPr>
            </w:pPr>
            <w:r w:rsidRPr="002D14EF">
              <w:rPr>
                <w:bCs/>
                <w:szCs w:val="20"/>
              </w:rPr>
              <w:t>Alina Zohrabian (PG&amp;E)</w:t>
            </w:r>
          </w:p>
        </w:tc>
        <w:tc>
          <w:tcPr>
            <w:tcW w:w="2781" w:type="pct"/>
          </w:tcPr>
          <w:p w14:paraId="38AE1A90" w14:textId="7807ABDE" w:rsidR="0006670A" w:rsidRPr="006A478E" w:rsidRDefault="0006670A" w:rsidP="00B23AD1">
            <w:pPr>
              <w:rPr>
                <w:bCs/>
                <w:szCs w:val="20"/>
              </w:rPr>
            </w:pPr>
            <w:r w:rsidRPr="00532D0A">
              <w:rPr>
                <w:bCs/>
                <w:szCs w:val="20"/>
              </w:rPr>
              <w:t>Variable Speed Pool Pump PGECOPUM102 R3.doc</w:t>
            </w:r>
          </w:p>
        </w:tc>
      </w:tr>
      <w:tr w:rsidR="00A219BD" w:rsidRPr="00500C4E" w14:paraId="4EB116F2" w14:textId="77777777" w:rsidTr="00A219BD">
        <w:trPr>
          <w:trHeight w:val="20"/>
        </w:trPr>
        <w:tc>
          <w:tcPr>
            <w:tcW w:w="335" w:type="pct"/>
            <w:vMerge w:val="restart"/>
          </w:tcPr>
          <w:p w14:paraId="725F0BAE" w14:textId="77777777" w:rsidR="00A219BD" w:rsidRPr="00F2079F" w:rsidRDefault="00A219BD" w:rsidP="00A219BD">
            <w:pPr>
              <w:jc w:val="center"/>
            </w:pPr>
            <w:r w:rsidRPr="00532D0A">
              <w:rPr>
                <w:bCs/>
                <w:szCs w:val="20"/>
              </w:rPr>
              <w:t>4</w:t>
            </w:r>
          </w:p>
          <w:p w14:paraId="0442B908" w14:textId="0CB08F09" w:rsidR="00A219BD" w:rsidRPr="00F2079F" w:rsidRDefault="00A219BD" w:rsidP="00B23AD1">
            <w:pPr>
              <w:jc w:val="center"/>
            </w:pPr>
          </w:p>
        </w:tc>
        <w:tc>
          <w:tcPr>
            <w:tcW w:w="706" w:type="pct"/>
          </w:tcPr>
          <w:p w14:paraId="0EC11C49" w14:textId="13B2F87A" w:rsidR="00A219BD" w:rsidRDefault="00A219BD" w:rsidP="00B23AD1">
            <w:pPr>
              <w:jc w:val="center"/>
              <w:rPr>
                <w:szCs w:val="20"/>
              </w:rPr>
            </w:pPr>
            <w:r w:rsidRPr="00532D0A">
              <w:rPr>
                <w:bCs/>
                <w:szCs w:val="20"/>
              </w:rPr>
              <w:t>5/29/12</w:t>
            </w:r>
          </w:p>
        </w:tc>
        <w:tc>
          <w:tcPr>
            <w:tcW w:w="1178" w:type="pct"/>
          </w:tcPr>
          <w:p w14:paraId="2166CEB9" w14:textId="78F6E3FF" w:rsidR="00A219BD" w:rsidRDefault="00A219BD" w:rsidP="00B23AD1">
            <w:pPr>
              <w:rPr>
                <w:szCs w:val="20"/>
              </w:rPr>
            </w:pPr>
            <w:r w:rsidRPr="002D14EF">
              <w:rPr>
                <w:bCs/>
                <w:szCs w:val="20"/>
              </w:rPr>
              <w:t>Alina Zohrabian (PG&amp;E)</w:t>
            </w:r>
          </w:p>
        </w:tc>
        <w:tc>
          <w:tcPr>
            <w:tcW w:w="2781" w:type="pct"/>
          </w:tcPr>
          <w:p w14:paraId="5959590F" w14:textId="77777777" w:rsidR="00A219BD" w:rsidRPr="00532D0A" w:rsidRDefault="00A219BD" w:rsidP="00B23AD1">
            <w:pPr>
              <w:rPr>
                <w:bCs/>
                <w:szCs w:val="20"/>
              </w:rPr>
            </w:pPr>
            <w:r w:rsidRPr="00532D0A">
              <w:rPr>
                <w:bCs/>
                <w:szCs w:val="20"/>
              </w:rPr>
              <w:t>Residential Variable Speed Pool Pump PGECOPUM102 R4.doc</w:t>
            </w:r>
          </w:p>
          <w:p w14:paraId="55AE6292" w14:textId="77777777" w:rsidR="00A219BD" w:rsidRDefault="00A219BD" w:rsidP="00B23AD1">
            <w:pPr>
              <w:numPr>
                <w:ilvl w:val="0"/>
                <w:numId w:val="26"/>
              </w:numPr>
              <w:rPr>
                <w:bCs/>
                <w:szCs w:val="20"/>
              </w:rPr>
            </w:pPr>
            <w:r w:rsidRPr="00532D0A">
              <w:rPr>
                <w:bCs/>
                <w:szCs w:val="20"/>
              </w:rPr>
              <w:t>Updated NTG</w:t>
            </w:r>
          </w:p>
          <w:p w14:paraId="00155D83" w14:textId="1E086EA8" w:rsidR="00A219BD" w:rsidRPr="0006670A" w:rsidRDefault="00A219BD" w:rsidP="00B23AD1">
            <w:pPr>
              <w:numPr>
                <w:ilvl w:val="0"/>
                <w:numId w:val="26"/>
              </w:numPr>
              <w:rPr>
                <w:bCs/>
                <w:szCs w:val="20"/>
              </w:rPr>
            </w:pPr>
            <w:r w:rsidRPr="0006670A">
              <w:rPr>
                <w:bCs/>
                <w:szCs w:val="20"/>
              </w:rPr>
              <w:t>Updated EUL</w:t>
            </w:r>
          </w:p>
        </w:tc>
      </w:tr>
      <w:tr w:rsidR="00A219BD" w:rsidRPr="00500C4E" w14:paraId="37384002" w14:textId="77777777" w:rsidTr="00A219BD">
        <w:trPr>
          <w:trHeight w:val="20"/>
        </w:trPr>
        <w:tc>
          <w:tcPr>
            <w:tcW w:w="335" w:type="pct"/>
            <w:vMerge/>
          </w:tcPr>
          <w:p w14:paraId="19209908" w14:textId="7DCE6754" w:rsidR="00A219BD" w:rsidRPr="00F2079F" w:rsidRDefault="00A219BD" w:rsidP="00B23AD1">
            <w:pPr>
              <w:jc w:val="center"/>
            </w:pPr>
          </w:p>
        </w:tc>
        <w:tc>
          <w:tcPr>
            <w:tcW w:w="706" w:type="pct"/>
          </w:tcPr>
          <w:p w14:paraId="129B9024" w14:textId="49209EFD" w:rsidR="00A219BD" w:rsidRDefault="00A219BD" w:rsidP="00B23AD1">
            <w:pPr>
              <w:jc w:val="center"/>
              <w:rPr>
                <w:szCs w:val="20"/>
              </w:rPr>
            </w:pPr>
            <w:r w:rsidRPr="00532D0A">
              <w:rPr>
                <w:bCs/>
                <w:szCs w:val="20"/>
              </w:rPr>
              <w:t>8/29/12</w:t>
            </w:r>
          </w:p>
        </w:tc>
        <w:tc>
          <w:tcPr>
            <w:tcW w:w="1178" w:type="pct"/>
          </w:tcPr>
          <w:p w14:paraId="74F56C72" w14:textId="328B8AD1" w:rsidR="00A219BD" w:rsidRDefault="00A219BD" w:rsidP="00B23AD1">
            <w:pPr>
              <w:rPr>
                <w:szCs w:val="20"/>
              </w:rPr>
            </w:pPr>
            <w:r w:rsidRPr="002D14EF">
              <w:rPr>
                <w:bCs/>
                <w:szCs w:val="20"/>
              </w:rPr>
              <w:t>Alina Zohrabian (PG&amp;E)</w:t>
            </w:r>
          </w:p>
        </w:tc>
        <w:tc>
          <w:tcPr>
            <w:tcW w:w="2781" w:type="pct"/>
          </w:tcPr>
          <w:p w14:paraId="37B85F99" w14:textId="02F5CB8E" w:rsidR="00A219BD" w:rsidRPr="006A478E" w:rsidRDefault="00A219BD" w:rsidP="00B23AD1">
            <w:pPr>
              <w:rPr>
                <w:bCs/>
                <w:szCs w:val="20"/>
              </w:rPr>
            </w:pPr>
            <w:r w:rsidRPr="00532D0A">
              <w:rPr>
                <w:bCs/>
                <w:szCs w:val="20"/>
              </w:rPr>
              <w:t>For Building type changed BCR to RES, For Vintage AV is changed to ANY and For Climate Zone All is changed to ANY</w:t>
            </w:r>
          </w:p>
        </w:tc>
      </w:tr>
      <w:tr w:rsidR="0006670A" w:rsidRPr="00500C4E" w14:paraId="5523B0A6" w14:textId="77777777" w:rsidTr="00A219BD">
        <w:trPr>
          <w:trHeight w:val="20"/>
        </w:trPr>
        <w:tc>
          <w:tcPr>
            <w:tcW w:w="335" w:type="pct"/>
          </w:tcPr>
          <w:p w14:paraId="197483CA" w14:textId="774DEEF1" w:rsidR="0006670A" w:rsidRDefault="0006670A" w:rsidP="00B23AD1">
            <w:pPr>
              <w:jc w:val="center"/>
              <w:rPr>
                <w:bCs/>
                <w:szCs w:val="20"/>
              </w:rPr>
            </w:pPr>
            <w:r>
              <w:rPr>
                <w:bCs/>
                <w:szCs w:val="20"/>
              </w:rPr>
              <w:t>5</w:t>
            </w:r>
          </w:p>
        </w:tc>
        <w:tc>
          <w:tcPr>
            <w:tcW w:w="706" w:type="pct"/>
          </w:tcPr>
          <w:p w14:paraId="25F0A9A3" w14:textId="62F3E17D" w:rsidR="0006670A" w:rsidRPr="00532D0A" w:rsidRDefault="004B08E4" w:rsidP="00B23AD1">
            <w:pPr>
              <w:jc w:val="center"/>
              <w:rPr>
                <w:bCs/>
                <w:szCs w:val="20"/>
              </w:rPr>
            </w:pPr>
            <w:r>
              <w:rPr>
                <w:bCs/>
                <w:szCs w:val="20"/>
              </w:rPr>
              <w:t>7/1/2014</w:t>
            </w:r>
          </w:p>
        </w:tc>
        <w:tc>
          <w:tcPr>
            <w:tcW w:w="1178" w:type="pct"/>
          </w:tcPr>
          <w:p w14:paraId="1CA8901C" w14:textId="327C5037" w:rsidR="0006670A" w:rsidRDefault="0006670A" w:rsidP="00B23AD1">
            <w:pPr>
              <w:rPr>
                <w:szCs w:val="20"/>
              </w:rPr>
            </w:pPr>
            <w:r w:rsidRPr="002D14EF">
              <w:rPr>
                <w:bCs/>
                <w:szCs w:val="20"/>
              </w:rPr>
              <w:t>Alina Zohrabian (PG&amp;E)</w:t>
            </w:r>
          </w:p>
        </w:tc>
        <w:tc>
          <w:tcPr>
            <w:tcW w:w="2781" w:type="pct"/>
          </w:tcPr>
          <w:p w14:paraId="09AD3700" w14:textId="2A8EB4BE" w:rsidR="0006670A" w:rsidRDefault="0006670A" w:rsidP="00B23AD1">
            <w:pPr>
              <w:rPr>
                <w:bCs/>
                <w:szCs w:val="20"/>
              </w:rPr>
            </w:pPr>
            <w:r w:rsidRPr="000D374B">
              <w:rPr>
                <w:bCs/>
                <w:szCs w:val="20"/>
              </w:rPr>
              <w:t>Updated the data to the Ex-Ante format, no changes to savings or any other factors</w:t>
            </w:r>
          </w:p>
        </w:tc>
      </w:tr>
      <w:tr w:rsidR="0006670A" w:rsidRPr="00500C4E" w14:paraId="2807A83D" w14:textId="77777777" w:rsidTr="00A219BD">
        <w:trPr>
          <w:trHeight w:val="20"/>
        </w:trPr>
        <w:tc>
          <w:tcPr>
            <w:tcW w:w="335" w:type="pct"/>
          </w:tcPr>
          <w:p w14:paraId="553CAC3E" w14:textId="6E60168C" w:rsidR="0006670A" w:rsidRDefault="0006670A" w:rsidP="00B23AD1">
            <w:pPr>
              <w:jc w:val="center"/>
              <w:rPr>
                <w:bCs/>
                <w:szCs w:val="20"/>
              </w:rPr>
            </w:pPr>
            <w:r>
              <w:rPr>
                <w:bCs/>
                <w:szCs w:val="20"/>
              </w:rPr>
              <w:t>6</w:t>
            </w:r>
          </w:p>
        </w:tc>
        <w:tc>
          <w:tcPr>
            <w:tcW w:w="706" w:type="pct"/>
          </w:tcPr>
          <w:p w14:paraId="13A89B7F" w14:textId="681C1AFC" w:rsidR="0006670A" w:rsidRPr="00532D0A" w:rsidRDefault="0006670A" w:rsidP="00B23AD1">
            <w:pPr>
              <w:jc w:val="center"/>
              <w:rPr>
                <w:bCs/>
                <w:szCs w:val="20"/>
              </w:rPr>
            </w:pPr>
            <w:r>
              <w:rPr>
                <w:bCs/>
                <w:szCs w:val="20"/>
              </w:rPr>
              <w:t>4/1/2016</w:t>
            </w:r>
          </w:p>
        </w:tc>
        <w:tc>
          <w:tcPr>
            <w:tcW w:w="1178" w:type="pct"/>
          </w:tcPr>
          <w:p w14:paraId="466209DD" w14:textId="299D867F" w:rsidR="0006670A" w:rsidRDefault="0006670A" w:rsidP="00B23AD1">
            <w:pPr>
              <w:rPr>
                <w:szCs w:val="20"/>
              </w:rPr>
            </w:pPr>
            <w:r w:rsidRPr="002D14EF">
              <w:rPr>
                <w:bCs/>
                <w:szCs w:val="20"/>
              </w:rPr>
              <w:t>Alina Zohrabian (PG&amp;E)</w:t>
            </w:r>
          </w:p>
        </w:tc>
        <w:tc>
          <w:tcPr>
            <w:tcW w:w="2781" w:type="pct"/>
          </w:tcPr>
          <w:p w14:paraId="3A213C00" w14:textId="3FB8B2AB" w:rsidR="0006670A" w:rsidRDefault="0006670A" w:rsidP="00B23AD1">
            <w:pPr>
              <w:rPr>
                <w:bCs/>
                <w:szCs w:val="20"/>
              </w:rPr>
            </w:pPr>
            <w:r>
              <w:rPr>
                <w:bCs/>
                <w:szCs w:val="20"/>
              </w:rPr>
              <w:t>Updated ID’s with 2016 format</w:t>
            </w:r>
          </w:p>
        </w:tc>
      </w:tr>
      <w:tr w:rsidR="0006670A" w:rsidRPr="00500C4E" w14:paraId="0501EDFF" w14:textId="77777777" w:rsidTr="00A219BD">
        <w:trPr>
          <w:trHeight w:val="20"/>
        </w:trPr>
        <w:tc>
          <w:tcPr>
            <w:tcW w:w="335" w:type="pct"/>
          </w:tcPr>
          <w:p w14:paraId="03FC54E3" w14:textId="65C5BFE8" w:rsidR="0006670A" w:rsidRDefault="0006670A" w:rsidP="00B23AD1">
            <w:pPr>
              <w:jc w:val="center"/>
            </w:pPr>
            <w:r>
              <w:rPr>
                <w:bCs/>
                <w:szCs w:val="20"/>
              </w:rPr>
              <w:t>7</w:t>
            </w:r>
          </w:p>
        </w:tc>
        <w:tc>
          <w:tcPr>
            <w:tcW w:w="706" w:type="pct"/>
          </w:tcPr>
          <w:p w14:paraId="025138DF" w14:textId="406B3678" w:rsidR="0006670A" w:rsidRDefault="0006670A" w:rsidP="00B23AD1">
            <w:pPr>
              <w:jc w:val="center"/>
              <w:rPr>
                <w:szCs w:val="20"/>
              </w:rPr>
            </w:pPr>
            <w:r>
              <w:rPr>
                <w:bCs/>
                <w:szCs w:val="20"/>
              </w:rPr>
              <w:t>1/1/2017</w:t>
            </w:r>
          </w:p>
        </w:tc>
        <w:tc>
          <w:tcPr>
            <w:tcW w:w="1178" w:type="pct"/>
          </w:tcPr>
          <w:p w14:paraId="00FF8387" w14:textId="7C31BACF" w:rsidR="0006670A" w:rsidRDefault="0006670A" w:rsidP="0006670A">
            <w:pPr>
              <w:rPr>
                <w:szCs w:val="20"/>
              </w:rPr>
            </w:pPr>
            <w:r w:rsidRPr="00532D0A">
              <w:rPr>
                <w:bCs/>
                <w:szCs w:val="20"/>
              </w:rPr>
              <w:t xml:space="preserve">Alina Zohrabian </w:t>
            </w:r>
            <w:r>
              <w:rPr>
                <w:bCs/>
                <w:szCs w:val="20"/>
              </w:rPr>
              <w:t>(</w:t>
            </w:r>
            <w:r w:rsidRPr="00532D0A">
              <w:rPr>
                <w:bCs/>
                <w:szCs w:val="20"/>
              </w:rPr>
              <w:t>PG&amp;E</w:t>
            </w:r>
            <w:r>
              <w:rPr>
                <w:bCs/>
                <w:szCs w:val="20"/>
              </w:rPr>
              <w:t>)</w:t>
            </w:r>
          </w:p>
        </w:tc>
        <w:tc>
          <w:tcPr>
            <w:tcW w:w="2781" w:type="pct"/>
          </w:tcPr>
          <w:p w14:paraId="65659494" w14:textId="2BAB2C34" w:rsidR="0006670A" w:rsidRDefault="0006670A" w:rsidP="00B23AD1">
            <w:pPr>
              <w:rPr>
                <w:bCs/>
                <w:szCs w:val="20"/>
              </w:rPr>
            </w:pPr>
            <w:r>
              <w:rPr>
                <w:bCs/>
                <w:szCs w:val="20"/>
              </w:rPr>
              <w:t>Cost updates</w:t>
            </w:r>
          </w:p>
        </w:tc>
      </w:tr>
      <w:tr w:rsidR="0006670A" w:rsidRPr="00500C4E" w14:paraId="31A07540" w14:textId="77777777" w:rsidTr="00A219BD">
        <w:trPr>
          <w:trHeight w:val="20"/>
        </w:trPr>
        <w:tc>
          <w:tcPr>
            <w:tcW w:w="335" w:type="pct"/>
          </w:tcPr>
          <w:p w14:paraId="3613F627" w14:textId="750258AE" w:rsidR="00873C62" w:rsidRPr="00356417" w:rsidRDefault="0006670A" w:rsidP="0006670A">
            <w:pPr>
              <w:jc w:val="center"/>
              <w:rPr>
                <w:strike/>
              </w:rPr>
            </w:pPr>
            <w:r w:rsidRPr="00356417">
              <w:rPr>
                <w:strike/>
              </w:rPr>
              <w:t>8</w:t>
            </w:r>
          </w:p>
        </w:tc>
        <w:tc>
          <w:tcPr>
            <w:tcW w:w="706" w:type="pct"/>
          </w:tcPr>
          <w:p w14:paraId="46FB5D7F" w14:textId="77777777" w:rsidR="00873C62" w:rsidRPr="00356417" w:rsidRDefault="0006670A" w:rsidP="00B23AD1">
            <w:pPr>
              <w:jc w:val="center"/>
              <w:rPr>
                <w:strike/>
                <w:szCs w:val="20"/>
              </w:rPr>
            </w:pPr>
            <w:r w:rsidRPr="00356417">
              <w:rPr>
                <w:strike/>
                <w:szCs w:val="20"/>
              </w:rPr>
              <w:t>12/18/2017</w:t>
            </w:r>
          </w:p>
          <w:p w14:paraId="7EECD316" w14:textId="77777777" w:rsidR="00BF14F1" w:rsidRPr="00356417" w:rsidRDefault="00BF14F1" w:rsidP="00B23AD1">
            <w:pPr>
              <w:jc w:val="center"/>
              <w:rPr>
                <w:strike/>
                <w:szCs w:val="20"/>
              </w:rPr>
            </w:pPr>
          </w:p>
          <w:p w14:paraId="36D6F795" w14:textId="343EAB34" w:rsidR="00BF14F1" w:rsidRPr="00356417" w:rsidRDefault="00BF14F1" w:rsidP="00B23AD1">
            <w:pPr>
              <w:jc w:val="center"/>
              <w:rPr>
                <w:strike/>
                <w:szCs w:val="20"/>
              </w:rPr>
            </w:pPr>
            <w:r w:rsidRPr="00356417">
              <w:rPr>
                <w:strike/>
                <w:szCs w:val="20"/>
              </w:rPr>
              <w:t>01/12/2018</w:t>
            </w:r>
          </w:p>
        </w:tc>
        <w:tc>
          <w:tcPr>
            <w:tcW w:w="1178" w:type="pct"/>
          </w:tcPr>
          <w:p w14:paraId="3954C017" w14:textId="72738628" w:rsidR="0006670A" w:rsidRPr="00356417" w:rsidRDefault="0006670A" w:rsidP="0006670A">
            <w:pPr>
              <w:rPr>
                <w:strike/>
                <w:szCs w:val="20"/>
              </w:rPr>
            </w:pPr>
            <w:r w:rsidRPr="00356417">
              <w:rPr>
                <w:strike/>
                <w:szCs w:val="20"/>
              </w:rPr>
              <w:t>Danielle Dragon, P.E., CEM, CDSM (PG&amp;E)</w:t>
            </w:r>
          </w:p>
        </w:tc>
        <w:tc>
          <w:tcPr>
            <w:tcW w:w="2781" w:type="pct"/>
          </w:tcPr>
          <w:p w14:paraId="633AAA1A" w14:textId="77777777" w:rsidR="00873C62" w:rsidRPr="00356417" w:rsidRDefault="0006670A" w:rsidP="0006670A">
            <w:pPr>
              <w:pStyle w:val="ListParagraph"/>
              <w:ind w:left="0"/>
              <w:rPr>
                <w:strike/>
              </w:rPr>
            </w:pPr>
            <w:r w:rsidRPr="00356417">
              <w:rPr>
                <w:bCs/>
                <w:strike/>
                <w:szCs w:val="20"/>
              </w:rPr>
              <w:t xml:space="preserve">Short form to adopt </w:t>
            </w:r>
            <w:r w:rsidRPr="00356417">
              <w:rPr>
                <w:strike/>
              </w:rPr>
              <w:t xml:space="preserve">SCE17WP001.0 - Residential Pool Pump VFD_Final.docx. </w:t>
            </w:r>
          </w:p>
          <w:p w14:paraId="57BB837C" w14:textId="77777777" w:rsidR="00BF14F1" w:rsidRDefault="00BF14F1" w:rsidP="0006670A">
            <w:pPr>
              <w:pStyle w:val="ListParagraph"/>
              <w:ind w:left="0"/>
            </w:pPr>
            <w:r w:rsidRPr="00356417">
              <w:rPr>
                <w:strike/>
              </w:rPr>
              <w:t>Short form update to include direct-install and down-stream incentive methods.</w:t>
            </w:r>
            <w:r w:rsidR="00356417">
              <w:rPr>
                <w:strike/>
              </w:rPr>
              <w:t xml:space="preserve"> </w:t>
            </w:r>
          </w:p>
          <w:p w14:paraId="2DC9CBE9" w14:textId="6A251CE3" w:rsidR="00356417" w:rsidRPr="00356417" w:rsidRDefault="00356417" w:rsidP="0006670A">
            <w:pPr>
              <w:pStyle w:val="ListParagraph"/>
              <w:ind w:left="0"/>
              <w:rPr>
                <w:bCs/>
                <w:i/>
                <w:szCs w:val="20"/>
              </w:rPr>
            </w:pPr>
            <w:r w:rsidRPr="00356417">
              <w:rPr>
                <w:i/>
              </w:rPr>
              <w:t>This submission was not approved.</w:t>
            </w:r>
          </w:p>
        </w:tc>
      </w:tr>
      <w:tr w:rsidR="00356417" w:rsidRPr="00500C4E" w14:paraId="3601AAF4" w14:textId="77777777" w:rsidTr="00A219BD">
        <w:trPr>
          <w:trHeight w:val="20"/>
        </w:trPr>
        <w:tc>
          <w:tcPr>
            <w:tcW w:w="335" w:type="pct"/>
          </w:tcPr>
          <w:p w14:paraId="12721BE1" w14:textId="2CD23278" w:rsidR="00356417" w:rsidRDefault="00356417" w:rsidP="0006670A">
            <w:pPr>
              <w:jc w:val="center"/>
            </w:pPr>
            <w:r>
              <w:t>8</w:t>
            </w:r>
          </w:p>
        </w:tc>
        <w:tc>
          <w:tcPr>
            <w:tcW w:w="706" w:type="pct"/>
          </w:tcPr>
          <w:p w14:paraId="3EA441B5" w14:textId="669197CB" w:rsidR="00356417" w:rsidRDefault="00356417" w:rsidP="00B23AD1">
            <w:pPr>
              <w:jc w:val="center"/>
              <w:rPr>
                <w:szCs w:val="20"/>
              </w:rPr>
            </w:pPr>
            <w:r>
              <w:rPr>
                <w:szCs w:val="20"/>
              </w:rPr>
              <w:t>1/28/2019</w:t>
            </w:r>
          </w:p>
        </w:tc>
        <w:tc>
          <w:tcPr>
            <w:tcW w:w="1178" w:type="pct"/>
          </w:tcPr>
          <w:p w14:paraId="3E7994B8" w14:textId="14E40348" w:rsidR="00356417" w:rsidRDefault="00356417" w:rsidP="0006670A">
            <w:pPr>
              <w:rPr>
                <w:szCs w:val="20"/>
              </w:rPr>
            </w:pPr>
            <w:r>
              <w:rPr>
                <w:szCs w:val="20"/>
              </w:rPr>
              <w:t>Jia Huang (PG&amp;E)</w:t>
            </w:r>
          </w:p>
        </w:tc>
        <w:tc>
          <w:tcPr>
            <w:tcW w:w="2781" w:type="pct"/>
          </w:tcPr>
          <w:p w14:paraId="348A0D9A" w14:textId="77777777" w:rsidR="00356417" w:rsidRDefault="00356417" w:rsidP="0006670A">
            <w:pPr>
              <w:pStyle w:val="ListParagraph"/>
              <w:ind w:left="0"/>
              <w:rPr>
                <w:bCs/>
                <w:szCs w:val="20"/>
              </w:rPr>
            </w:pPr>
            <w:r>
              <w:rPr>
                <w:bCs/>
                <w:szCs w:val="20"/>
              </w:rPr>
              <w:t>Short form to adopt SCE17WP001.1 – Residential Pool Pum</w:t>
            </w:r>
            <w:r w:rsidR="00F4534B">
              <w:rPr>
                <w:bCs/>
                <w:szCs w:val="20"/>
              </w:rPr>
              <w:t>p VFD_Final.docx</w:t>
            </w:r>
          </w:p>
          <w:p w14:paraId="594B3A1F" w14:textId="6CD72EF0" w:rsidR="00F4534B" w:rsidRDefault="00F4534B" w:rsidP="0006670A">
            <w:pPr>
              <w:pStyle w:val="ListParagraph"/>
              <w:ind w:left="0"/>
              <w:rPr>
                <w:bCs/>
                <w:szCs w:val="20"/>
              </w:rPr>
            </w:pPr>
            <w:r>
              <w:rPr>
                <w:bCs/>
                <w:szCs w:val="20"/>
              </w:rPr>
              <w:lastRenderedPageBreak/>
              <w:t xml:space="preserve">Short </w:t>
            </w:r>
            <w:r w:rsidR="00497FD2">
              <w:rPr>
                <w:bCs/>
                <w:szCs w:val="20"/>
              </w:rPr>
              <w:t xml:space="preserve">form to include direct install, </w:t>
            </w:r>
            <w:r>
              <w:rPr>
                <w:bCs/>
                <w:szCs w:val="20"/>
              </w:rPr>
              <w:t>downstream</w:t>
            </w:r>
            <w:r w:rsidR="00497FD2">
              <w:rPr>
                <w:bCs/>
                <w:szCs w:val="20"/>
              </w:rPr>
              <w:t>, and midstream</w:t>
            </w:r>
            <w:r>
              <w:rPr>
                <w:bCs/>
                <w:szCs w:val="20"/>
              </w:rPr>
              <w:t xml:space="preserve"> incentive methods (ROB measure application type).</w:t>
            </w:r>
          </w:p>
        </w:tc>
      </w:tr>
    </w:tbl>
    <w:p w14:paraId="38FE7FDB" w14:textId="649B4C50" w:rsidR="00DD5DE0" w:rsidRDefault="00DD5DE0">
      <w:pPr>
        <w:spacing w:after="200" w:line="276" w:lineRule="auto"/>
        <w:rPr>
          <w:rFonts w:cs="Arial"/>
          <w:b/>
          <w:bCs/>
          <w:smallCaps/>
          <w:kern w:val="32"/>
          <w:sz w:val="36"/>
          <w:szCs w:val="32"/>
        </w:rPr>
      </w:pPr>
      <w:r>
        <w:lastRenderedPageBreak/>
        <w:br w:type="page"/>
      </w:r>
    </w:p>
    <w:bookmarkEnd w:id="2"/>
    <w:bookmarkEnd w:id="3"/>
    <w:bookmarkEnd w:id="4"/>
    <w:bookmarkEnd w:id="5"/>
    <w:p w14:paraId="3CC2FD74" w14:textId="7D77A57B" w:rsidR="00290ED8" w:rsidRDefault="0006670A" w:rsidP="00AC5309">
      <w:pPr>
        <w:pStyle w:val="Heading1"/>
      </w:pPr>
      <w:r>
        <w:lastRenderedPageBreak/>
        <w:t>Measure Summary</w:t>
      </w:r>
    </w:p>
    <w:p w14:paraId="746444D7" w14:textId="77777777" w:rsidR="0006670A" w:rsidRDefault="0006670A" w:rsidP="0006670A">
      <w:pPr>
        <w:pStyle w:val="Caption"/>
        <w:keepNext/>
        <w:jc w:val="center"/>
      </w:pPr>
      <w:r>
        <w:t xml:space="preserve">Table </w:t>
      </w:r>
      <w:r w:rsidR="00497FD2">
        <w:fldChar w:fldCharType="begin"/>
      </w:r>
      <w:r w:rsidR="00497FD2">
        <w:instrText xml:space="preserve"> SEQ Table \* ARABIC </w:instrText>
      </w:r>
      <w:r w:rsidR="00497FD2">
        <w:fldChar w:fldCharType="separate"/>
      </w:r>
      <w:r w:rsidR="006B040A">
        <w:rPr>
          <w:noProof/>
        </w:rPr>
        <w:t>1</w:t>
      </w:r>
      <w:r w:rsidR="00497FD2">
        <w:rPr>
          <w:noProof/>
        </w:rPr>
        <w:fldChar w:fldCharType="end"/>
      </w:r>
      <w:r>
        <w:t>: Measure Summary Table</w:t>
      </w:r>
    </w:p>
    <w:tbl>
      <w:tblPr>
        <w:tblStyle w:val="TableGrid"/>
        <w:tblW w:w="0" w:type="auto"/>
        <w:tblLook w:val="04A0" w:firstRow="1" w:lastRow="0" w:firstColumn="1" w:lastColumn="0" w:noHBand="0" w:noVBand="1"/>
      </w:tblPr>
      <w:tblGrid>
        <w:gridCol w:w="2567"/>
        <w:gridCol w:w="6783"/>
      </w:tblGrid>
      <w:tr w:rsidR="0006670A" w14:paraId="108C4E67" w14:textId="77777777" w:rsidTr="00F4534B">
        <w:trPr>
          <w:cantSplit/>
          <w:tblHeader/>
        </w:trPr>
        <w:tc>
          <w:tcPr>
            <w:tcW w:w="2567" w:type="dxa"/>
          </w:tcPr>
          <w:p w14:paraId="45B1F41A" w14:textId="77777777" w:rsidR="0006670A" w:rsidRPr="00D86243" w:rsidRDefault="0006670A" w:rsidP="00B23AD1">
            <w:pPr>
              <w:jc w:val="center"/>
              <w:rPr>
                <w:b/>
              </w:rPr>
            </w:pPr>
            <w:r w:rsidRPr="00D86243">
              <w:rPr>
                <w:b/>
              </w:rPr>
              <w:t>Section</w:t>
            </w:r>
          </w:p>
        </w:tc>
        <w:tc>
          <w:tcPr>
            <w:tcW w:w="6783" w:type="dxa"/>
          </w:tcPr>
          <w:p w14:paraId="56EE56FF" w14:textId="77777777" w:rsidR="0006670A" w:rsidRPr="00D86243" w:rsidRDefault="0006670A" w:rsidP="00B23AD1">
            <w:pPr>
              <w:jc w:val="center"/>
              <w:rPr>
                <w:b/>
              </w:rPr>
            </w:pPr>
            <w:r w:rsidRPr="00D86243">
              <w:rPr>
                <w:b/>
              </w:rPr>
              <w:t>Value</w:t>
            </w:r>
          </w:p>
        </w:tc>
      </w:tr>
      <w:tr w:rsidR="0006670A" w14:paraId="0C129EEF" w14:textId="77777777" w:rsidTr="00F4534B">
        <w:trPr>
          <w:cantSplit/>
          <w:trHeight w:val="422"/>
        </w:trPr>
        <w:tc>
          <w:tcPr>
            <w:tcW w:w="2567" w:type="dxa"/>
            <w:vAlign w:val="center"/>
          </w:tcPr>
          <w:p w14:paraId="71A8901E" w14:textId="77777777" w:rsidR="0006670A" w:rsidRPr="001D77F7" w:rsidRDefault="0006670A" w:rsidP="00B23AD1">
            <w:pPr>
              <w:rPr>
                <w:b/>
              </w:rPr>
            </w:pPr>
            <w:r>
              <w:rPr>
                <w:b/>
              </w:rPr>
              <w:t>Summary &amp; Purpose</w:t>
            </w:r>
          </w:p>
        </w:tc>
        <w:tc>
          <w:tcPr>
            <w:tcW w:w="6783" w:type="dxa"/>
          </w:tcPr>
          <w:p w14:paraId="297BC3C8" w14:textId="295B2D4F" w:rsidR="0006670A" w:rsidRPr="00D86243" w:rsidRDefault="0006670A" w:rsidP="0080344B">
            <w:pPr>
              <w:jc w:val="both"/>
              <w:rPr>
                <w:rFonts w:cs="Arial"/>
                <w:sz w:val="20"/>
                <w:szCs w:val="20"/>
              </w:rPr>
            </w:pPr>
            <w:r w:rsidRPr="00E52110">
              <w:rPr>
                <w:rFonts w:cs="Arial"/>
                <w:sz w:val="20"/>
                <w:szCs w:val="20"/>
              </w:rPr>
              <w:t>This short form workpaper documents SCE’s “</w:t>
            </w:r>
            <w:r>
              <w:rPr>
                <w:sz w:val="20"/>
                <w:szCs w:val="20"/>
              </w:rPr>
              <w:t>Residential Variable Speed Pool Pumps</w:t>
            </w:r>
            <w:r w:rsidRPr="00E52110">
              <w:rPr>
                <w:sz w:val="20"/>
                <w:szCs w:val="20"/>
              </w:rPr>
              <w:t>”</w:t>
            </w:r>
            <w:r w:rsidRPr="00E52110">
              <w:rPr>
                <w:rFonts w:cs="Arial"/>
                <w:sz w:val="20"/>
                <w:szCs w:val="20"/>
              </w:rPr>
              <w:t xml:space="preserve">. The base energy consumption and measure energy consumption values are from </w:t>
            </w:r>
            <w:r>
              <w:rPr>
                <w:rFonts w:cs="Arial"/>
                <w:sz w:val="20"/>
                <w:szCs w:val="20"/>
              </w:rPr>
              <w:t xml:space="preserve">SCE’s </w:t>
            </w:r>
            <w:r w:rsidRPr="00E52110">
              <w:rPr>
                <w:rFonts w:cs="Arial"/>
                <w:sz w:val="20"/>
                <w:szCs w:val="20"/>
              </w:rPr>
              <w:t>workpaper,</w:t>
            </w:r>
            <w:r>
              <w:rPr>
                <w:rFonts w:cs="Arial"/>
                <w:sz w:val="20"/>
                <w:szCs w:val="20"/>
              </w:rPr>
              <w:t xml:space="preserve"> SCE17WP001</w:t>
            </w:r>
            <w:r w:rsidRPr="00E52110">
              <w:rPr>
                <w:rFonts w:cs="Arial"/>
                <w:sz w:val="20"/>
                <w:szCs w:val="20"/>
              </w:rPr>
              <w:t xml:space="preserve">, Revision </w:t>
            </w:r>
            <w:r w:rsidR="00F4534B">
              <w:rPr>
                <w:rFonts w:cs="Arial"/>
                <w:sz w:val="20"/>
                <w:szCs w:val="20"/>
              </w:rPr>
              <w:t>1</w:t>
            </w:r>
            <w:r w:rsidRPr="00E52110">
              <w:rPr>
                <w:rFonts w:cs="Arial"/>
                <w:sz w:val="20"/>
                <w:szCs w:val="20"/>
              </w:rPr>
              <w:t xml:space="preserve">.  </w:t>
            </w:r>
          </w:p>
        </w:tc>
      </w:tr>
      <w:tr w:rsidR="0006670A" w14:paraId="14FB9396" w14:textId="77777777" w:rsidTr="00F4534B">
        <w:trPr>
          <w:cantSplit/>
        </w:trPr>
        <w:tc>
          <w:tcPr>
            <w:tcW w:w="2567" w:type="dxa"/>
            <w:vAlign w:val="center"/>
          </w:tcPr>
          <w:p w14:paraId="4167F10B" w14:textId="77777777" w:rsidR="0006670A" w:rsidRPr="001D77F7" w:rsidRDefault="0006670A" w:rsidP="00B23AD1">
            <w:pPr>
              <w:rPr>
                <w:b/>
              </w:rPr>
            </w:pPr>
            <w:r w:rsidRPr="001D77F7">
              <w:rPr>
                <w:b/>
              </w:rPr>
              <w:t>1.1 Measure &amp; Baseline Data</w:t>
            </w:r>
          </w:p>
        </w:tc>
        <w:tc>
          <w:tcPr>
            <w:tcW w:w="6783" w:type="dxa"/>
          </w:tcPr>
          <w:p w14:paraId="4B971201" w14:textId="77777777" w:rsidR="0006670A" w:rsidRPr="00555671" w:rsidRDefault="0006670A" w:rsidP="00B23AD1">
            <w:pPr>
              <w:rPr>
                <w:rFonts w:cs="Arial"/>
                <w:sz w:val="20"/>
                <w:szCs w:val="20"/>
              </w:rPr>
            </w:pPr>
            <w:r w:rsidRPr="00555671">
              <w:rPr>
                <w:rFonts w:cs="Arial"/>
                <w:sz w:val="20"/>
                <w:szCs w:val="20"/>
              </w:rPr>
              <w:t>Measure</w:t>
            </w:r>
            <w:r>
              <w:rPr>
                <w:rFonts w:cs="Arial"/>
                <w:sz w:val="20"/>
                <w:szCs w:val="20"/>
              </w:rPr>
              <w:t>s</w:t>
            </w:r>
            <w:r w:rsidRPr="00555671">
              <w:rPr>
                <w:rFonts w:cs="Arial"/>
                <w:sz w:val="20"/>
                <w:szCs w:val="20"/>
              </w:rPr>
              <w:t xml:space="preserve">: </w:t>
            </w:r>
          </w:p>
          <w:tbl>
            <w:tblPr>
              <w:tblStyle w:val="TableGrid"/>
              <w:tblW w:w="0" w:type="auto"/>
              <w:tblLook w:val="04A0" w:firstRow="1" w:lastRow="0" w:firstColumn="1" w:lastColumn="0" w:noHBand="0" w:noVBand="1"/>
            </w:tblPr>
            <w:tblGrid>
              <w:gridCol w:w="1111"/>
              <w:gridCol w:w="711"/>
              <w:gridCol w:w="4735"/>
            </w:tblGrid>
            <w:tr w:rsidR="000B6CBE" w14:paraId="7BEFAF9C" w14:textId="77777777" w:rsidTr="00F4534B">
              <w:tc>
                <w:tcPr>
                  <w:tcW w:w="1111" w:type="dxa"/>
                </w:tcPr>
                <w:p w14:paraId="7D9A967D" w14:textId="580D72C6" w:rsidR="0006670A" w:rsidRPr="000B6CBE" w:rsidRDefault="00471042" w:rsidP="00471042">
                  <w:pPr>
                    <w:rPr>
                      <w:rFonts w:cs="Arial"/>
                      <w:sz w:val="20"/>
                      <w:szCs w:val="20"/>
                    </w:rPr>
                  </w:pPr>
                  <w:r w:rsidRPr="000B6CBE">
                    <w:rPr>
                      <w:rFonts w:cs="Arial"/>
                      <w:sz w:val="20"/>
                      <w:szCs w:val="20"/>
                    </w:rPr>
                    <w:t>SCE</w:t>
                  </w:r>
                  <w:r w:rsidR="0006670A" w:rsidRPr="000B6CBE">
                    <w:rPr>
                      <w:rFonts w:cs="Arial"/>
                      <w:sz w:val="20"/>
                      <w:szCs w:val="20"/>
                    </w:rPr>
                    <w:t xml:space="preserve"> Codes</w:t>
                  </w:r>
                </w:p>
              </w:tc>
              <w:tc>
                <w:tcPr>
                  <w:tcW w:w="711" w:type="dxa"/>
                </w:tcPr>
                <w:p w14:paraId="0BA17286" w14:textId="77777777" w:rsidR="0006670A" w:rsidRPr="000B6CBE" w:rsidRDefault="00471042" w:rsidP="00B23AD1">
                  <w:pPr>
                    <w:rPr>
                      <w:rFonts w:cs="Arial"/>
                      <w:sz w:val="20"/>
                      <w:szCs w:val="20"/>
                    </w:rPr>
                  </w:pPr>
                  <w:r w:rsidRPr="000B6CBE">
                    <w:rPr>
                      <w:rFonts w:cs="Arial"/>
                      <w:sz w:val="20"/>
                      <w:szCs w:val="20"/>
                    </w:rPr>
                    <w:t>PG&amp;E</w:t>
                  </w:r>
                </w:p>
                <w:p w14:paraId="2E8C295B" w14:textId="373E5BAF" w:rsidR="00471042" w:rsidRPr="000B6CBE" w:rsidRDefault="00471042" w:rsidP="00B23AD1">
                  <w:pPr>
                    <w:rPr>
                      <w:rFonts w:cs="Arial"/>
                      <w:sz w:val="20"/>
                      <w:szCs w:val="20"/>
                    </w:rPr>
                  </w:pPr>
                  <w:r w:rsidRPr="000B6CBE">
                    <w:rPr>
                      <w:rFonts w:cs="Arial"/>
                      <w:sz w:val="20"/>
                      <w:szCs w:val="20"/>
                    </w:rPr>
                    <w:t>Codes</w:t>
                  </w:r>
                </w:p>
              </w:tc>
              <w:tc>
                <w:tcPr>
                  <w:tcW w:w="4735" w:type="dxa"/>
                </w:tcPr>
                <w:p w14:paraId="521B49EB" w14:textId="77777777" w:rsidR="0006670A" w:rsidRPr="000B6CBE" w:rsidRDefault="0006670A" w:rsidP="00B23AD1">
                  <w:pPr>
                    <w:rPr>
                      <w:rFonts w:cs="Arial"/>
                      <w:sz w:val="20"/>
                      <w:szCs w:val="20"/>
                    </w:rPr>
                  </w:pPr>
                  <w:r w:rsidRPr="000B6CBE">
                    <w:rPr>
                      <w:rFonts w:cs="Arial"/>
                      <w:sz w:val="20"/>
                      <w:szCs w:val="20"/>
                    </w:rPr>
                    <w:t>Description</w:t>
                  </w:r>
                </w:p>
              </w:tc>
            </w:tr>
            <w:tr w:rsidR="00F4534B" w14:paraId="5B6146C3" w14:textId="77777777" w:rsidTr="00F4534B">
              <w:tc>
                <w:tcPr>
                  <w:tcW w:w="1111" w:type="dxa"/>
                </w:tcPr>
                <w:p w14:paraId="3530DB73" w14:textId="64112333" w:rsidR="00F4534B" w:rsidRPr="000B6CBE" w:rsidRDefault="00F4534B" w:rsidP="00F4534B">
                  <w:pPr>
                    <w:rPr>
                      <w:rFonts w:cs="Arial"/>
                      <w:sz w:val="20"/>
                      <w:szCs w:val="20"/>
                    </w:rPr>
                  </w:pPr>
                  <w:r>
                    <w:rPr>
                      <w:sz w:val="20"/>
                      <w:szCs w:val="20"/>
                    </w:rPr>
                    <w:t>PM-78394</w:t>
                  </w:r>
                </w:p>
              </w:tc>
              <w:tc>
                <w:tcPr>
                  <w:tcW w:w="711" w:type="dxa"/>
                </w:tcPr>
                <w:p w14:paraId="2E5F9449" w14:textId="210BA540" w:rsidR="00F4534B" w:rsidRPr="000B6CBE" w:rsidRDefault="00F4534B" w:rsidP="00F4534B">
                  <w:pPr>
                    <w:rPr>
                      <w:rFonts w:cstheme="minorHAnsi"/>
                      <w:color w:val="FF0000"/>
                      <w:sz w:val="20"/>
                      <w:szCs w:val="20"/>
                    </w:rPr>
                  </w:pPr>
                  <w:r>
                    <w:rPr>
                      <w:rFonts w:cstheme="minorHAnsi"/>
                      <w:sz w:val="20"/>
                      <w:szCs w:val="20"/>
                    </w:rPr>
                    <w:t>PL001</w:t>
                  </w:r>
                </w:p>
              </w:tc>
              <w:tc>
                <w:tcPr>
                  <w:tcW w:w="4735" w:type="dxa"/>
                  <w:vAlign w:val="center"/>
                </w:tcPr>
                <w:p w14:paraId="23C86F44" w14:textId="00B9AD7A" w:rsidR="00F4534B" w:rsidRPr="000B6CBE" w:rsidRDefault="00F4534B" w:rsidP="00F4534B">
                  <w:pPr>
                    <w:rPr>
                      <w:rFonts w:cs="Arial"/>
                      <w:sz w:val="20"/>
                      <w:szCs w:val="20"/>
                    </w:rPr>
                  </w:pPr>
                  <w:r>
                    <w:rPr>
                      <w:rFonts w:ascii="Calibri" w:hAnsi="Calibri"/>
                      <w:sz w:val="20"/>
                      <w:szCs w:val="20"/>
                    </w:rPr>
                    <w:t xml:space="preserve">Commissioned Variable Speed Drive on Pool Pump Controls </w:t>
                  </w:r>
                </w:p>
              </w:tc>
            </w:tr>
          </w:tbl>
          <w:p w14:paraId="1259AAD6" w14:textId="3E05AC35" w:rsidR="00973A93" w:rsidRPr="00241A1F" w:rsidRDefault="00973A93" w:rsidP="00B23AD1">
            <w:pPr>
              <w:rPr>
                <w:rFonts w:cs="Arial"/>
                <w:sz w:val="20"/>
                <w:szCs w:val="20"/>
              </w:rPr>
            </w:pPr>
          </w:p>
        </w:tc>
      </w:tr>
      <w:tr w:rsidR="0006670A" w14:paraId="74125126" w14:textId="77777777" w:rsidTr="00F4534B">
        <w:trPr>
          <w:cantSplit/>
        </w:trPr>
        <w:tc>
          <w:tcPr>
            <w:tcW w:w="2567" w:type="dxa"/>
            <w:vAlign w:val="center"/>
          </w:tcPr>
          <w:p w14:paraId="12598BAE" w14:textId="77777777" w:rsidR="0006670A" w:rsidRPr="001D77F7" w:rsidRDefault="0006670A" w:rsidP="00B23AD1">
            <w:pPr>
              <w:rPr>
                <w:b/>
              </w:rPr>
            </w:pPr>
            <w:r w:rsidRPr="001D77F7">
              <w:rPr>
                <w:b/>
              </w:rPr>
              <w:t xml:space="preserve">1.2 Technical Description </w:t>
            </w:r>
          </w:p>
        </w:tc>
        <w:tc>
          <w:tcPr>
            <w:tcW w:w="6783" w:type="dxa"/>
          </w:tcPr>
          <w:p w14:paraId="10504FCE" w14:textId="77777777" w:rsidR="0006670A" w:rsidRPr="00241A1F" w:rsidRDefault="0006670A" w:rsidP="00B23AD1">
            <w:pPr>
              <w:rPr>
                <w:rFonts w:cs="Arial"/>
                <w:sz w:val="20"/>
                <w:szCs w:val="20"/>
              </w:rPr>
            </w:pPr>
          </w:p>
        </w:tc>
      </w:tr>
      <w:tr w:rsidR="0006670A" w:rsidRPr="008775D7" w14:paraId="4AB89646" w14:textId="77777777" w:rsidTr="00F4534B">
        <w:trPr>
          <w:cantSplit/>
        </w:trPr>
        <w:tc>
          <w:tcPr>
            <w:tcW w:w="2567" w:type="dxa"/>
          </w:tcPr>
          <w:p w14:paraId="7DC00B4C" w14:textId="77777777" w:rsidR="0006670A" w:rsidRPr="00241A1F" w:rsidRDefault="0006670A" w:rsidP="00B23AD1">
            <w:pPr>
              <w:jc w:val="right"/>
              <w:rPr>
                <w:sz w:val="20"/>
                <w:szCs w:val="20"/>
              </w:rPr>
            </w:pPr>
            <w:r w:rsidRPr="00241A1F">
              <w:rPr>
                <w:sz w:val="20"/>
                <w:szCs w:val="20"/>
              </w:rPr>
              <w:t>Measures</w:t>
            </w:r>
          </w:p>
        </w:tc>
        <w:tc>
          <w:tcPr>
            <w:tcW w:w="6783" w:type="dxa"/>
          </w:tcPr>
          <w:p w14:paraId="2AFD42F9" w14:textId="77777777" w:rsidR="00F4534B" w:rsidRPr="00F4534B" w:rsidRDefault="00F4534B" w:rsidP="00F4534B">
            <w:pPr>
              <w:rPr>
                <w:rFonts w:cs="Arial"/>
                <w:b/>
                <w:sz w:val="20"/>
                <w:szCs w:val="20"/>
              </w:rPr>
            </w:pPr>
            <w:r w:rsidRPr="00F4534B">
              <w:rPr>
                <w:rFonts w:cs="Arial"/>
                <w:b/>
                <w:sz w:val="20"/>
                <w:szCs w:val="20"/>
              </w:rPr>
              <w:t>Measure A (PM-78394):</w:t>
            </w:r>
          </w:p>
          <w:p w14:paraId="50FF2592" w14:textId="77777777" w:rsidR="00F4534B" w:rsidRPr="00F4534B" w:rsidRDefault="00F4534B" w:rsidP="00F4534B">
            <w:pPr>
              <w:ind w:left="144"/>
              <w:rPr>
                <w:rFonts w:cs="Arial"/>
                <w:sz w:val="20"/>
                <w:szCs w:val="20"/>
              </w:rPr>
            </w:pPr>
            <w:r w:rsidRPr="00F4534B">
              <w:rPr>
                <w:rFonts w:cs="Arial"/>
                <w:sz w:val="20"/>
                <w:szCs w:val="20"/>
              </w:rPr>
              <w:t>Commissioned Variable Speed Drive on Pool Pump Controls replacing Two Speed Pool Pump.</w:t>
            </w:r>
          </w:p>
          <w:p w14:paraId="67512715" w14:textId="77777777" w:rsidR="00F4534B" w:rsidRPr="00F4534B" w:rsidRDefault="00F4534B" w:rsidP="00F4534B">
            <w:pPr>
              <w:ind w:left="144"/>
              <w:rPr>
                <w:rFonts w:cs="Arial"/>
                <w:sz w:val="20"/>
                <w:szCs w:val="20"/>
              </w:rPr>
            </w:pPr>
            <w:r w:rsidRPr="00F4534B">
              <w:rPr>
                <w:rFonts w:cs="Arial"/>
                <w:sz w:val="20"/>
                <w:szCs w:val="20"/>
              </w:rPr>
              <w:t xml:space="preserve">The measure case is variable speed swimming pool pumps that are programmed to operate outside peak hours (2:00 pm to 5:00 pm) as part of a contractor driven offer. This measure is only for single family building types. </w:t>
            </w:r>
          </w:p>
          <w:p w14:paraId="4B7E6369" w14:textId="075D8D2A" w:rsidR="0006670A" w:rsidRPr="00E733C7" w:rsidRDefault="0006670A" w:rsidP="00B23AD1">
            <w:pPr>
              <w:rPr>
                <w:rFonts w:cs="Arial"/>
                <w:sz w:val="20"/>
                <w:szCs w:val="20"/>
              </w:rPr>
            </w:pPr>
          </w:p>
        </w:tc>
      </w:tr>
      <w:tr w:rsidR="0080344B" w:rsidRPr="008775D7" w14:paraId="248AABD6" w14:textId="77777777" w:rsidTr="00F4534B">
        <w:trPr>
          <w:cantSplit/>
        </w:trPr>
        <w:tc>
          <w:tcPr>
            <w:tcW w:w="2567" w:type="dxa"/>
          </w:tcPr>
          <w:p w14:paraId="10D3FD3C" w14:textId="4AE8EE23" w:rsidR="0080344B" w:rsidRPr="00241A1F" w:rsidRDefault="0080344B" w:rsidP="00B23AD1">
            <w:pPr>
              <w:jc w:val="right"/>
              <w:rPr>
                <w:sz w:val="20"/>
                <w:szCs w:val="20"/>
              </w:rPr>
            </w:pPr>
            <w:r w:rsidRPr="004F7FB8">
              <w:rPr>
                <w:sz w:val="20"/>
                <w:szCs w:val="20"/>
              </w:rPr>
              <w:t>Code for All Measures</w:t>
            </w:r>
          </w:p>
        </w:tc>
        <w:tc>
          <w:tcPr>
            <w:tcW w:w="6783" w:type="dxa"/>
          </w:tcPr>
          <w:p w14:paraId="2FA6940E" w14:textId="3C8E6C9B" w:rsidR="0080344B" w:rsidRDefault="00F4534B" w:rsidP="00B23AD1">
            <w:pPr>
              <w:rPr>
                <w:rFonts w:cs="Arial"/>
                <w:sz w:val="20"/>
                <w:szCs w:val="20"/>
              </w:rPr>
            </w:pPr>
            <w:r>
              <w:rPr>
                <w:rFonts w:cs="Arial"/>
                <w:sz w:val="20"/>
                <w:szCs w:val="20"/>
              </w:rPr>
              <w:t>Per SCE workpaper SCE17WP001, Rev 1.</w:t>
            </w:r>
          </w:p>
        </w:tc>
      </w:tr>
      <w:tr w:rsidR="0080344B" w:rsidRPr="00D36B0E" w14:paraId="397B863D" w14:textId="77777777" w:rsidTr="00F4534B">
        <w:tc>
          <w:tcPr>
            <w:tcW w:w="2567" w:type="dxa"/>
          </w:tcPr>
          <w:p w14:paraId="19475EB1" w14:textId="77777777" w:rsidR="0080344B" w:rsidRPr="001D77F7" w:rsidRDefault="0080344B" w:rsidP="00B23AD1">
            <w:pPr>
              <w:jc w:val="right"/>
              <w:rPr>
                <w:b/>
              </w:rPr>
            </w:pPr>
            <w:r w:rsidRPr="00197677">
              <w:rPr>
                <w:rFonts w:cs="Arial"/>
                <w:sz w:val="20"/>
                <w:szCs w:val="20"/>
              </w:rPr>
              <w:t>Requirements</w:t>
            </w:r>
          </w:p>
        </w:tc>
        <w:tc>
          <w:tcPr>
            <w:tcW w:w="6783" w:type="dxa"/>
          </w:tcPr>
          <w:p w14:paraId="620861A6" w14:textId="7169F8C4" w:rsidR="0080344B" w:rsidRPr="00221176" w:rsidRDefault="00221176" w:rsidP="00F4534B">
            <w:pPr>
              <w:rPr>
                <w:rFonts w:cs="Arial"/>
                <w:b/>
                <w:sz w:val="20"/>
                <w:szCs w:val="20"/>
              </w:rPr>
            </w:pPr>
            <w:r>
              <w:rPr>
                <w:rFonts w:cs="Arial"/>
                <w:b/>
                <w:sz w:val="20"/>
                <w:szCs w:val="20"/>
              </w:rPr>
              <w:t>Eligibility Requirements:</w:t>
            </w:r>
          </w:p>
          <w:p w14:paraId="16468FD0" w14:textId="34C68ECA" w:rsidR="00221176" w:rsidRPr="00221176" w:rsidRDefault="00221176" w:rsidP="00221176">
            <w:pPr>
              <w:pStyle w:val="Reminders"/>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The following eligibility requirements apply to all measures in this workpaper</w:t>
            </w:r>
            <w:r>
              <w:rPr>
                <w:rFonts w:asciiTheme="minorHAnsi" w:hAnsiTheme="minorHAnsi" w:cstheme="minorHAnsi"/>
                <w:i w:val="0"/>
                <w:color w:val="auto"/>
                <w:sz w:val="20"/>
                <w:szCs w:val="20"/>
              </w:rPr>
              <w:t xml:space="preserve"> as per SCE17WP001.1.:</w:t>
            </w:r>
          </w:p>
          <w:p w14:paraId="2C07EDD7"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 xml:space="preserve">Variable speed pool pump must replace existing single or two speed pool </w:t>
            </w:r>
            <w:proofErr w:type="gramStart"/>
            <w:r w:rsidRPr="00221176">
              <w:rPr>
                <w:rFonts w:asciiTheme="minorHAnsi" w:hAnsiTheme="minorHAnsi" w:cstheme="minorHAnsi"/>
                <w:i w:val="0"/>
                <w:color w:val="auto"/>
                <w:sz w:val="20"/>
                <w:szCs w:val="20"/>
              </w:rPr>
              <w:t>pump</w:t>
            </w:r>
            <w:proofErr w:type="gramEnd"/>
            <w:r w:rsidRPr="00221176">
              <w:rPr>
                <w:rFonts w:asciiTheme="minorHAnsi" w:hAnsiTheme="minorHAnsi" w:cstheme="minorHAnsi"/>
                <w:i w:val="0"/>
                <w:color w:val="auto"/>
                <w:sz w:val="20"/>
                <w:szCs w:val="20"/>
              </w:rPr>
              <w:t>.  For models that require an automatic control system capable of controlling both high and low speeds, a controller must be installed.</w:t>
            </w:r>
          </w:p>
          <w:p w14:paraId="473C0B53"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Only main filtration pumps are eligible.  Booster pumps which are solely used for added spa jet circulation or secondary pumps used for cleaning purposes are not eligible.</w:t>
            </w:r>
          </w:p>
          <w:p w14:paraId="658B4E29"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It is recommended for the variable speed (VS) pool pump to match the capacity of the pump being replaced.  For this work paper, horsepower rating refers to the nameplate horsepower before service factor is applied.</w:t>
            </w:r>
          </w:p>
          <w:p w14:paraId="2C426106"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All climate zones are eligible.</w:t>
            </w:r>
          </w:p>
          <w:p w14:paraId="0990ECC3"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Must be configured to meet program pump configuration requirements (see implementation requirements below).</w:t>
            </w:r>
          </w:p>
          <w:p w14:paraId="17D7B68E"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 xml:space="preserve">The following product types are not eligible: </w:t>
            </w:r>
          </w:p>
          <w:p w14:paraId="49832487" w14:textId="77777777" w:rsidR="00221176" w:rsidRPr="00221176" w:rsidRDefault="00221176" w:rsidP="00221176">
            <w:pPr>
              <w:pStyle w:val="Reminders"/>
              <w:numPr>
                <w:ilvl w:val="1"/>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Rebuilt, refurbished, or reconditioned products</w:t>
            </w:r>
          </w:p>
          <w:p w14:paraId="471D18B3" w14:textId="77777777" w:rsidR="00221176" w:rsidRPr="00221176" w:rsidRDefault="00221176" w:rsidP="00221176">
            <w:pPr>
              <w:pStyle w:val="Reminders"/>
              <w:numPr>
                <w:ilvl w:val="1"/>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Rented or leased products</w:t>
            </w:r>
          </w:p>
          <w:p w14:paraId="424953B5" w14:textId="77777777" w:rsidR="00221176" w:rsidRPr="00221176" w:rsidRDefault="00221176" w:rsidP="00221176">
            <w:pPr>
              <w:pStyle w:val="Reminders"/>
              <w:numPr>
                <w:ilvl w:val="1"/>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Products won as prizes, or</w:t>
            </w:r>
          </w:p>
          <w:p w14:paraId="121D27F0" w14:textId="77777777" w:rsidR="00221176" w:rsidRPr="00221176" w:rsidRDefault="00221176" w:rsidP="00221176">
            <w:pPr>
              <w:pStyle w:val="Reminders"/>
              <w:numPr>
                <w:ilvl w:val="1"/>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New parts installed in existing units.</w:t>
            </w:r>
          </w:p>
          <w:p w14:paraId="0391EC38"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 xml:space="preserve">All AR/RET measures require third party baseline verification and data gathering in full compliance with established POE requirements – Attachment 5.  </w:t>
            </w:r>
          </w:p>
          <w:p w14:paraId="101FE581" w14:textId="77777777" w:rsidR="00221176" w:rsidRPr="00221176" w:rsidRDefault="00221176" w:rsidP="00221176">
            <w:pPr>
              <w:pStyle w:val="Reminders"/>
              <w:rPr>
                <w:rFonts w:asciiTheme="minorHAnsi" w:hAnsiTheme="minorHAnsi" w:cstheme="minorHAnsi"/>
                <w:i w:val="0"/>
                <w:color w:val="auto"/>
                <w:sz w:val="20"/>
                <w:szCs w:val="20"/>
              </w:rPr>
            </w:pPr>
          </w:p>
          <w:p w14:paraId="32B45271" w14:textId="77777777" w:rsidR="00221176" w:rsidRPr="00221176" w:rsidRDefault="00221176" w:rsidP="00221176">
            <w:pPr>
              <w:pStyle w:val="Reminders"/>
              <w:rPr>
                <w:rFonts w:asciiTheme="minorHAnsi" w:hAnsiTheme="minorHAnsi" w:cstheme="minorHAnsi"/>
                <w:color w:val="auto"/>
                <w:sz w:val="20"/>
                <w:szCs w:val="20"/>
              </w:rPr>
            </w:pPr>
            <w:r w:rsidRPr="00221176">
              <w:rPr>
                <w:rFonts w:asciiTheme="minorHAnsi" w:hAnsiTheme="minorHAnsi" w:cstheme="minorHAnsi"/>
                <w:color w:val="auto"/>
                <w:sz w:val="20"/>
                <w:szCs w:val="20"/>
              </w:rPr>
              <w:lastRenderedPageBreak/>
              <w:t>Single family</w:t>
            </w:r>
          </w:p>
          <w:p w14:paraId="4ACB84F4" w14:textId="77777777" w:rsidR="00221176" w:rsidRPr="00221176" w:rsidRDefault="00221176" w:rsidP="00221176">
            <w:pPr>
              <w:pStyle w:val="Reminders"/>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 xml:space="preserve">The following additional eligibility requirements apply to only </w:t>
            </w:r>
            <w:proofErr w:type="gramStart"/>
            <w:r w:rsidRPr="00221176">
              <w:rPr>
                <w:rFonts w:asciiTheme="minorHAnsi" w:hAnsiTheme="minorHAnsi" w:cstheme="minorHAnsi"/>
                <w:i w:val="0"/>
                <w:color w:val="auto"/>
                <w:sz w:val="20"/>
                <w:szCs w:val="20"/>
              </w:rPr>
              <w:t>Single Family</w:t>
            </w:r>
            <w:proofErr w:type="gramEnd"/>
            <w:r w:rsidRPr="00221176">
              <w:rPr>
                <w:rFonts w:asciiTheme="minorHAnsi" w:hAnsiTheme="minorHAnsi" w:cstheme="minorHAnsi"/>
                <w:i w:val="0"/>
                <w:color w:val="auto"/>
                <w:sz w:val="20"/>
                <w:szCs w:val="20"/>
              </w:rPr>
              <w:t xml:space="preserve"> Building types:</w:t>
            </w:r>
          </w:p>
          <w:p w14:paraId="7CB85E8D"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 xml:space="preserve">Rebates are available for existing single-family properties which include in-ground pools for private, residential properties.  </w:t>
            </w:r>
          </w:p>
          <w:p w14:paraId="4810463A"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 xml:space="preserve">Single Family properties with an active service account(s) served by the utility offering rebate are eligible to participate in the program.  The property must be </w:t>
            </w:r>
            <w:proofErr w:type="gramStart"/>
            <w:r w:rsidRPr="00221176">
              <w:rPr>
                <w:rFonts w:asciiTheme="minorHAnsi" w:hAnsiTheme="minorHAnsi" w:cstheme="minorHAnsi"/>
                <w:i w:val="0"/>
                <w:color w:val="auto"/>
                <w:sz w:val="20"/>
                <w:szCs w:val="20"/>
              </w:rPr>
              <w:t>occupied</w:t>
            </w:r>
            <w:proofErr w:type="gramEnd"/>
            <w:r w:rsidRPr="00221176">
              <w:rPr>
                <w:rFonts w:asciiTheme="minorHAnsi" w:hAnsiTheme="minorHAnsi" w:cstheme="minorHAnsi"/>
                <w:i w:val="0"/>
                <w:color w:val="auto"/>
                <w:sz w:val="20"/>
                <w:szCs w:val="20"/>
              </w:rPr>
              <w:t xml:space="preserve"> and the existing pool must not already have a Variable Speed Pool Pump.  </w:t>
            </w:r>
          </w:p>
          <w:p w14:paraId="3362F46A"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 xml:space="preserve">The existing pool pump must be a single or two speed type unit. </w:t>
            </w:r>
          </w:p>
          <w:p w14:paraId="76475C13"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 xml:space="preserve">Only swimming pool pumps are eligible. Spa, wading pool or Jacuzzi pumps are not eligible for single family residences. </w:t>
            </w:r>
          </w:p>
          <w:p w14:paraId="2AA42F61" w14:textId="77777777" w:rsidR="00221176" w:rsidRPr="00221176" w:rsidRDefault="00221176" w:rsidP="00221176">
            <w:pPr>
              <w:pStyle w:val="Reminders"/>
              <w:rPr>
                <w:rFonts w:asciiTheme="minorHAnsi" w:hAnsiTheme="minorHAnsi" w:cstheme="minorHAnsi"/>
                <w:i w:val="0"/>
                <w:color w:val="auto"/>
                <w:sz w:val="20"/>
                <w:szCs w:val="20"/>
              </w:rPr>
            </w:pPr>
          </w:p>
          <w:p w14:paraId="77BA540F" w14:textId="77777777" w:rsidR="00221176" w:rsidRPr="00221176" w:rsidRDefault="00221176" w:rsidP="00221176">
            <w:pPr>
              <w:pStyle w:val="Reminders"/>
              <w:rPr>
                <w:rFonts w:asciiTheme="minorHAnsi" w:hAnsiTheme="minorHAnsi" w:cstheme="minorHAnsi"/>
                <w:color w:val="auto"/>
                <w:sz w:val="20"/>
                <w:szCs w:val="20"/>
              </w:rPr>
            </w:pPr>
            <w:r w:rsidRPr="00221176">
              <w:rPr>
                <w:rFonts w:asciiTheme="minorHAnsi" w:hAnsiTheme="minorHAnsi" w:cstheme="minorHAnsi"/>
                <w:color w:val="auto"/>
                <w:sz w:val="20"/>
                <w:szCs w:val="20"/>
              </w:rPr>
              <w:t>Multifamily</w:t>
            </w:r>
          </w:p>
          <w:p w14:paraId="4237A9A7" w14:textId="77777777" w:rsidR="00221176" w:rsidRPr="00221176" w:rsidRDefault="00221176" w:rsidP="00221176">
            <w:pPr>
              <w:pStyle w:val="Reminders"/>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The following additional eligibility requirements apply to only Multifamily Family Building types:</w:t>
            </w:r>
          </w:p>
          <w:p w14:paraId="6C743C37"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 xml:space="preserve">Property Owners and Managers of residential multifamily property with an active service account(s) served by rebating utility may be eligible to participate in the programs. </w:t>
            </w:r>
          </w:p>
          <w:p w14:paraId="4236EDEF"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 xml:space="preserve">The following residential properties are eligible for Multi-family pool pump rebates: apartment house pools, residential community pools, townhouse pools, condominium pools, mobile home park pools, and homeowner association pools. </w:t>
            </w:r>
          </w:p>
          <w:p w14:paraId="5052CFA7" w14:textId="77777777" w:rsidR="00221176" w:rsidRPr="00221176" w:rsidRDefault="00221176" w:rsidP="00221176">
            <w:pPr>
              <w:pStyle w:val="Reminders"/>
              <w:numPr>
                <w:ilvl w:val="0"/>
                <w:numId w:val="29"/>
              </w:numPr>
              <w:rPr>
                <w:rFonts w:asciiTheme="minorHAnsi" w:hAnsiTheme="minorHAnsi" w:cstheme="minorHAnsi"/>
                <w:i w:val="0"/>
                <w:color w:val="auto"/>
                <w:sz w:val="20"/>
                <w:szCs w:val="20"/>
              </w:rPr>
            </w:pPr>
            <w:r w:rsidRPr="00221176">
              <w:rPr>
                <w:rFonts w:asciiTheme="minorHAnsi" w:hAnsiTheme="minorHAnsi" w:cstheme="minorHAnsi"/>
                <w:i w:val="0"/>
                <w:color w:val="auto"/>
                <w:sz w:val="20"/>
                <w:szCs w:val="20"/>
              </w:rPr>
              <w:t xml:space="preserve">The following pool types are eligible for Multi-family pool pump rebates: swimming pool, wading pool and spa. </w:t>
            </w:r>
          </w:p>
          <w:p w14:paraId="2D2682FA" w14:textId="52532104" w:rsidR="0080344B" w:rsidRPr="00EA703B" w:rsidRDefault="0080344B" w:rsidP="00221176">
            <w:pPr>
              <w:pStyle w:val="Reminders"/>
              <w:rPr>
                <w:rFonts w:asciiTheme="minorHAnsi" w:hAnsiTheme="minorHAnsi" w:cstheme="minorHAnsi"/>
                <w:i w:val="0"/>
                <w:color w:val="auto"/>
                <w:sz w:val="18"/>
                <w:szCs w:val="18"/>
              </w:rPr>
            </w:pPr>
          </w:p>
        </w:tc>
      </w:tr>
      <w:tr w:rsidR="0080344B" w:rsidRPr="00D86243" w14:paraId="6C9F7CEF" w14:textId="77777777" w:rsidTr="00F4534B">
        <w:tc>
          <w:tcPr>
            <w:tcW w:w="2567" w:type="dxa"/>
          </w:tcPr>
          <w:p w14:paraId="52D9AEB2" w14:textId="331B87AF" w:rsidR="0080344B" w:rsidRPr="001D77F7" w:rsidRDefault="0080344B" w:rsidP="00B23AD1">
            <w:pPr>
              <w:rPr>
                <w:b/>
              </w:rPr>
            </w:pPr>
            <w:r w:rsidRPr="001D77F7">
              <w:rPr>
                <w:b/>
              </w:rPr>
              <w:lastRenderedPageBreak/>
              <w:t>1.3 Installation Type and Delivery Mechanisms</w:t>
            </w:r>
          </w:p>
        </w:tc>
        <w:tc>
          <w:tcPr>
            <w:tcW w:w="6783" w:type="dxa"/>
          </w:tcPr>
          <w:p w14:paraId="040FC905" w14:textId="77777777" w:rsidR="0080344B" w:rsidRPr="00D86243" w:rsidRDefault="0080344B" w:rsidP="00B23AD1">
            <w:pPr>
              <w:rPr>
                <w:rFonts w:cs="Arial"/>
                <w:sz w:val="20"/>
                <w:szCs w:val="20"/>
              </w:rPr>
            </w:pPr>
          </w:p>
        </w:tc>
      </w:tr>
      <w:tr w:rsidR="0080344B" w:rsidRPr="00F6244F" w14:paraId="019199A4" w14:textId="77777777" w:rsidTr="00F4534B">
        <w:tc>
          <w:tcPr>
            <w:tcW w:w="2567" w:type="dxa"/>
          </w:tcPr>
          <w:p w14:paraId="3D88DEE6" w14:textId="77777777" w:rsidR="0080344B" w:rsidRPr="00822B6F" w:rsidRDefault="0080344B" w:rsidP="00B23AD1">
            <w:pPr>
              <w:jc w:val="right"/>
              <w:rPr>
                <w:sz w:val="20"/>
                <w:szCs w:val="20"/>
              </w:rPr>
            </w:pPr>
            <w:r w:rsidRPr="00822B6F">
              <w:rPr>
                <w:sz w:val="20"/>
                <w:szCs w:val="20"/>
              </w:rPr>
              <w:t>Installation Type</w:t>
            </w:r>
          </w:p>
        </w:tc>
        <w:tc>
          <w:tcPr>
            <w:tcW w:w="6783" w:type="dxa"/>
          </w:tcPr>
          <w:p w14:paraId="46DC03FB" w14:textId="77777777" w:rsidR="0080344B" w:rsidRPr="00F6244F" w:rsidRDefault="0080344B" w:rsidP="00B23AD1">
            <w:pPr>
              <w:rPr>
                <w:rFonts w:cs="Arial"/>
                <w:sz w:val="20"/>
                <w:szCs w:val="20"/>
              </w:rPr>
            </w:pPr>
            <w:r w:rsidRPr="00A965B2">
              <w:rPr>
                <w:sz w:val="20"/>
                <w:szCs w:val="20"/>
              </w:rPr>
              <w:t>Replace on Burnout (ROB)</w:t>
            </w:r>
          </w:p>
        </w:tc>
      </w:tr>
      <w:tr w:rsidR="0080344B" w:rsidRPr="00FE636E" w14:paraId="5127DE01" w14:textId="77777777" w:rsidTr="00F4534B">
        <w:tc>
          <w:tcPr>
            <w:tcW w:w="2567" w:type="dxa"/>
          </w:tcPr>
          <w:p w14:paraId="49BFD9CE" w14:textId="77777777" w:rsidR="0080344B" w:rsidRPr="00822B6F" w:rsidRDefault="0080344B" w:rsidP="00B23AD1">
            <w:pPr>
              <w:jc w:val="right"/>
              <w:rPr>
                <w:sz w:val="20"/>
                <w:szCs w:val="20"/>
              </w:rPr>
            </w:pPr>
            <w:r w:rsidRPr="00822B6F">
              <w:rPr>
                <w:sz w:val="20"/>
                <w:szCs w:val="20"/>
              </w:rPr>
              <w:t>Delivery Mechanisms</w:t>
            </w:r>
          </w:p>
        </w:tc>
        <w:tc>
          <w:tcPr>
            <w:tcW w:w="6783" w:type="dxa"/>
          </w:tcPr>
          <w:p w14:paraId="6B204C9C" w14:textId="7EF085DF" w:rsidR="0080344B" w:rsidRPr="00FE636E" w:rsidRDefault="001F03C3" w:rsidP="00B23AD1">
            <w:pPr>
              <w:rPr>
                <w:rFonts w:cs="Arial"/>
                <w:sz w:val="20"/>
                <w:szCs w:val="20"/>
              </w:rPr>
            </w:pPr>
            <w:r>
              <w:rPr>
                <w:rFonts w:cs="Arial"/>
                <w:sz w:val="20"/>
                <w:szCs w:val="20"/>
              </w:rPr>
              <w:t>Direct-Install, Down-stream, Mid-stream</w:t>
            </w:r>
          </w:p>
        </w:tc>
      </w:tr>
      <w:tr w:rsidR="0080344B" w14:paraId="35998254" w14:textId="77777777" w:rsidTr="00F4534B">
        <w:tc>
          <w:tcPr>
            <w:tcW w:w="2567" w:type="dxa"/>
          </w:tcPr>
          <w:p w14:paraId="017CA468" w14:textId="6342DB3B" w:rsidR="0080344B" w:rsidRPr="001D77F7" w:rsidRDefault="0080344B" w:rsidP="00B23AD1">
            <w:pPr>
              <w:rPr>
                <w:b/>
              </w:rPr>
            </w:pPr>
            <w:r w:rsidRPr="001D77F7">
              <w:rPr>
                <w:b/>
              </w:rPr>
              <w:t>1.4.1 DEER Data</w:t>
            </w:r>
          </w:p>
        </w:tc>
        <w:tc>
          <w:tcPr>
            <w:tcW w:w="6783" w:type="dxa"/>
          </w:tcPr>
          <w:p w14:paraId="25BBEDAB" w14:textId="77777777" w:rsidR="0080344B" w:rsidRDefault="0080344B" w:rsidP="00B23AD1"/>
        </w:tc>
      </w:tr>
      <w:tr w:rsidR="0080344B" w:rsidRPr="00D86243" w14:paraId="48C8CBAC" w14:textId="77777777" w:rsidTr="00F4534B">
        <w:tc>
          <w:tcPr>
            <w:tcW w:w="2567" w:type="dxa"/>
          </w:tcPr>
          <w:p w14:paraId="5D29A140" w14:textId="77777777" w:rsidR="0080344B" w:rsidRPr="00822B6F" w:rsidRDefault="0080344B" w:rsidP="00B23AD1">
            <w:pPr>
              <w:jc w:val="right"/>
              <w:rPr>
                <w:sz w:val="20"/>
                <w:szCs w:val="20"/>
              </w:rPr>
            </w:pPr>
            <w:r w:rsidRPr="00822B6F">
              <w:rPr>
                <w:sz w:val="20"/>
                <w:szCs w:val="20"/>
              </w:rPr>
              <w:t>Net-to-Gross Ratio</w:t>
            </w:r>
          </w:p>
        </w:tc>
        <w:tc>
          <w:tcPr>
            <w:tcW w:w="6783" w:type="dxa"/>
          </w:tcPr>
          <w:p w14:paraId="211BF669" w14:textId="738860EB" w:rsidR="0080344B" w:rsidRPr="00D86243" w:rsidRDefault="00015FCD" w:rsidP="00B23AD1">
            <w:pPr>
              <w:tabs>
                <w:tab w:val="right" w:pos="6732"/>
              </w:tabs>
              <w:rPr>
                <w:rFonts w:cs="Arial"/>
                <w:sz w:val="20"/>
                <w:szCs w:val="20"/>
              </w:rPr>
            </w:pPr>
            <w:r>
              <w:rPr>
                <w:rFonts w:cs="Arial"/>
                <w:sz w:val="20"/>
                <w:szCs w:val="20"/>
              </w:rPr>
              <w:t>Res</w:t>
            </w:r>
            <w:r w:rsidR="0080344B" w:rsidRPr="00A61271">
              <w:rPr>
                <w:rFonts w:cs="Arial"/>
                <w:sz w:val="20"/>
                <w:szCs w:val="20"/>
              </w:rPr>
              <w:t>-Default&gt;2yrs</w:t>
            </w:r>
          </w:p>
        </w:tc>
      </w:tr>
    </w:tbl>
    <w:p w14:paraId="567257A4" w14:textId="77777777" w:rsidR="00015FCD" w:rsidRDefault="00015FCD">
      <w:r>
        <w:br w:type="page"/>
      </w:r>
    </w:p>
    <w:tbl>
      <w:tblPr>
        <w:tblStyle w:val="TableGrid"/>
        <w:tblW w:w="0" w:type="auto"/>
        <w:tblLook w:val="04A0" w:firstRow="1" w:lastRow="0" w:firstColumn="1" w:lastColumn="0" w:noHBand="0" w:noVBand="1"/>
      </w:tblPr>
      <w:tblGrid>
        <w:gridCol w:w="2555"/>
        <w:gridCol w:w="6795"/>
      </w:tblGrid>
      <w:tr w:rsidR="0080344B" w:rsidRPr="00D86243" w14:paraId="5C58F8BB" w14:textId="77777777" w:rsidTr="0080344B">
        <w:tc>
          <w:tcPr>
            <w:tcW w:w="2627" w:type="dxa"/>
          </w:tcPr>
          <w:p w14:paraId="5A3A61CB" w14:textId="7C2FF260" w:rsidR="0080344B" w:rsidRPr="00822B6F" w:rsidRDefault="0080344B" w:rsidP="00B23AD1">
            <w:pPr>
              <w:jc w:val="right"/>
              <w:rPr>
                <w:sz w:val="20"/>
                <w:szCs w:val="20"/>
              </w:rPr>
            </w:pPr>
            <w:r w:rsidRPr="00822B6F">
              <w:rPr>
                <w:sz w:val="20"/>
                <w:szCs w:val="20"/>
              </w:rPr>
              <w:lastRenderedPageBreak/>
              <w:t>Effective and Remaining Useful Life</w:t>
            </w:r>
          </w:p>
        </w:tc>
        <w:tc>
          <w:tcPr>
            <w:tcW w:w="6949" w:type="dxa"/>
          </w:tcPr>
          <w:p w14:paraId="0CC6A08F" w14:textId="77777777" w:rsidR="0080344B" w:rsidRDefault="0080344B" w:rsidP="00B23AD1">
            <w:pPr>
              <w:tabs>
                <w:tab w:val="right" w:pos="6732"/>
              </w:tabs>
              <w:rPr>
                <w:rFonts w:cstheme="minorHAnsi"/>
                <w:szCs w:val="20"/>
              </w:rPr>
            </w:pPr>
          </w:p>
          <w:tbl>
            <w:tblPr>
              <w:tblStyle w:val="TableGrid"/>
              <w:tblW w:w="0" w:type="auto"/>
              <w:tblLook w:val="04A0" w:firstRow="1" w:lastRow="0" w:firstColumn="1" w:lastColumn="0" w:noHBand="0" w:noVBand="1"/>
            </w:tblPr>
            <w:tblGrid>
              <w:gridCol w:w="1598"/>
              <w:gridCol w:w="2970"/>
              <w:gridCol w:w="735"/>
              <w:gridCol w:w="1260"/>
            </w:tblGrid>
            <w:tr w:rsidR="0080344B" w14:paraId="70C58C85" w14:textId="77777777" w:rsidTr="00015FCD">
              <w:tc>
                <w:tcPr>
                  <w:tcW w:w="1598" w:type="dxa"/>
                </w:tcPr>
                <w:p w14:paraId="3B0A526F" w14:textId="77777777" w:rsidR="0080344B" w:rsidRPr="00F6244F" w:rsidRDefault="0080344B" w:rsidP="00B23AD1">
                  <w:pPr>
                    <w:tabs>
                      <w:tab w:val="right" w:pos="6732"/>
                    </w:tabs>
                    <w:rPr>
                      <w:rFonts w:cs="Arial"/>
                      <w:sz w:val="20"/>
                      <w:szCs w:val="20"/>
                    </w:rPr>
                  </w:pPr>
                  <w:r w:rsidRPr="00F6244F">
                    <w:rPr>
                      <w:rFonts w:cs="Arial"/>
                      <w:sz w:val="20"/>
                      <w:szCs w:val="20"/>
                    </w:rPr>
                    <w:t>EUL ID</w:t>
                  </w:r>
                </w:p>
              </w:tc>
              <w:tc>
                <w:tcPr>
                  <w:tcW w:w="2970" w:type="dxa"/>
                </w:tcPr>
                <w:p w14:paraId="160946EA" w14:textId="77777777" w:rsidR="0080344B" w:rsidRPr="00481A9D" w:rsidRDefault="0080344B" w:rsidP="00B23AD1">
                  <w:pPr>
                    <w:tabs>
                      <w:tab w:val="right" w:pos="6732"/>
                    </w:tabs>
                    <w:rPr>
                      <w:rFonts w:cs="Arial"/>
                      <w:sz w:val="20"/>
                      <w:szCs w:val="20"/>
                    </w:rPr>
                  </w:pPr>
                  <w:r w:rsidRPr="00481A9D">
                    <w:rPr>
                      <w:rFonts w:cs="Arial"/>
                      <w:sz w:val="20"/>
                      <w:szCs w:val="20"/>
                    </w:rPr>
                    <w:t>Description</w:t>
                  </w:r>
                </w:p>
              </w:tc>
              <w:tc>
                <w:tcPr>
                  <w:tcW w:w="735" w:type="dxa"/>
                </w:tcPr>
                <w:p w14:paraId="7CF249A2" w14:textId="77777777" w:rsidR="0080344B" w:rsidRPr="00481A9D" w:rsidRDefault="0080344B" w:rsidP="00B23AD1">
                  <w:pPr>
                    <w:tabs>
                      <w:tab w:val="right" w:pos="6732"/>
                    </w:tabs>
                    <w:rPr>
                      <w:rFonts w:cs="Arial"/>
                      <w:sz w:val="20"/>
                      <w:szCs w:val="20"/>
                    </w:rPr>
                  </w:pPr>
                  <w:r w:rsidRPr="00481A9D">
                    <w:rPr>
                      <w:rFonts w:cs="Arial"/>
                      <w:sz w:val="20"/>
                      <w:szCs w:val="20"/>
                    </w:rPr>
                    <w:t>Sector</w:t>
                  </w:r>
                </w:p>
              </w:tc>
              <w:tc>
                <w:tcPr>
                  <w:tcW w:w="1260" w:type="dxa"/>
                </w:tcPr>
                <w:p w14:paraId="75FFC8C1" w14:textId="77777777" w:rsidR="0080344B" w:rsidRPr="00481A9D" w:rsidRDefault="0080344B" w:rsidP="00B23AD1">
                  <w:pPr>
                    <w:tabs>
                      <w:tab w:val="right" w:pos="6732"/>
                    </w:tabs>
                    <w:rPr>
                      <w:rFonts w:cs="Arial"/>
                      <w:sz w:val="20"/>
                      <w:szCs w:val="20"/>
                    </w:rPr>
                  </w:pPr>
                  <w:proofErr w:type="spellStart"/>
                  <w:r w:rsidRPr="00481A9D">
                    <w:rPr>
                      <w:rFonts w:cs="Arial"/>
                      <w:sz w:val="20"/>
                      <w:szCs w:val="20"/>
                    </w:rPr>
                    <w:t>UseCategory</w:t>
                  </w:r>
                  <w:proofErr w:type="spellEnd"/>
                </w:p>
              </w:tc>
            </w:tr>
            <w:tr w:rsidR="00015FCD" w14:paraId="5DA1B94B" w14:textId="77777777" w:rsidTr="00015FCD">
              <w:tc>
                <w:tcPr>
                  <w:tcW w:w="1598" w:type="dxa"/>
                  <w:vAlign w:val="center"/>
                </w:tcPr>
                <w:p w14:paraId="65ACC69F" w14:textId="01299C81" w:rsidR="00015FCD" w:rsidRPr="00015FCD" w:rsidRDefault="00015FCD" w:rsidP="00B23AD1">
                  <w:pPr>
                    <w:rPr>
                      <w:color w:val="FF0000"/>
                      <w:sz w:val="20"/>
                      <w:szCs w:val="20"/>
                    </w:rPr>
                  </w:pPr>
                  <w:proofErr w:type="spellStart"/>
                  <w:r w:rsidRPr="00015FCD">
                    <w:rPr>
                      <w:rFonts w:ascii="Calibri" w:hAnsi="Calibri"/>
                      <w:sz w:val="20"/>
                      <w:szCs w:val="20"/>
                    </w:rPr>
                    <w:t>OutD-PoolPump</w:t>
                  </w:r>
                  <w:proofErr w:type="spellEnd"/>
                </w:p>
              </w:tc>
              <w:tc>
                <w:tcPr>
                  <w:tcW w:w="2970" w:type="dxa"/>
                  <w:vAlign w:val="center"/>
                </w:tcPr>
                <w:p w14:paraId="304CA8CA" w14:textId="39910423" w:rsidR="00015FCD" w:rsidRPr="00015FCD" w:rsidRDefault="00015FCD" w:rsidP="00B23AD1">
                  <w:pPr>
                    <w:rPr>
                      <w:color w:val="FF0000"/>
                      <w:sz w:val="20"/>
                      <w:szCs w:val="20"/>
                    </w:rPr>
                  </w:pPr>
                  <w:r w:rsidRPr="00015FCD">
                    <w:rPr>
                      <w:rFonts w:ascii="Calibri" w:hAnsi="Calibri"/>
                      <w:sz w:val="20"/>
                      <w:szCs w:val="20"/>
                    </w:rPr>
                    <w:t>High Efficiency Pool Pump</w:t>
                  </w:r>
                </w:p>
              </w:tc>
              <w:tc>
                <w:tcPr>
                  <w:tcW w:w="735" w:type="dxa"/>
                  <w:vAlign w:val="center"/>
                </w:tcPr>
                <w:p w14:paraId="07F41DDC" w14:textId="5E86AB9F" w:rsidR="00015FCD" w:rsidRPr="00015FCD" w:rsidRDefault="00015FCD" w:rsidP="00B23AD1">
                  <w:pPr>
                    <w:rPr>
                      <w:color w:val="FF0000"/>
                      <w:sz w:val="20"/>
                      <w:szCs w:val="20"/>
                    </w:rPr>
                  </w:pPr>
                  <w:r w:rsidRPr="00015FCD">
                    <w:rPr>
                      <w:rFonts w:ascii="Calibri" w:hAnsi="Calibri"/>
                      <w:sz w:val="20"/>
                      <w:szCs w:val="20"/>
                    </w:rPr>
                    <w:t>Res</w:t>
                  </w:r>
                </w:p>
              </w:tc>
              <w:tc>
                <w:tcPr>
                  <w:tcW w:w="1260" w:type="dxa"/>
                  <w:vAlign w:val="center"/>
                </w:tcPr>
                <w:p w14:paraId="3B2A378C" w14:textId="235C3365" w:rsidR="00015FCD" w:rsidRPr="00015FCD" w:rsidRDefault="00015FCD" w:rsidP="00B23AD1">
                  <w:pPr>
                    <w:rPr>
                      <w:color w:val="FF0000"/>
                      <w:sz w:val="20"/>
                      <w:szCs w:val="20"/>
                    </w:rPr>
                  </w:pPr>
                  <w:r w:rsidRPr="00015FCD">
                    <w:rPr>
                      <w:rFonts w:ascii="Calibri" w:hAnsi="Calibri"/>
                      <w:sz w:val="20"/>
                      <w:szCs w:val="20"/>
                    </w:rPr>
                    <w:t>Recreation</w:t>
                  </w:r>
                </w:p>
              </w:tc>
            </w:tr>
            <w:tr w:rsidR="0080344B" w14:paraId="53CBCC5C" w14:textId="77777777" w:rsidTr="00015FCD">
              <w:tc>
                <w:tcPr>
                  <w:tcW w:w="6563" w:type="dxa"/>
                  <w:gridSpan w:val="4"/>
                  <w:tcBorders>
                    <w:left w:val="nil"/>
                    <w:bottom w:val="nil"/>
                    <w:right w:val="nil"/>
                  </w:tcBorders>
                </w:tcPr>
                <w:p w14:paraId="026ABC70" w14:textId="77777777" w:rsidR="0080344B" w:rsidRDefault="0080344B" w:rsidP="00B23AD1">
                  <w:pPr>
                    <w:tabs>
                      <w:tab w:val="right" w:pos="6732"/>
                    </w:tabs>
                    <w:rPr>
                      <w:rFonts w:cs="Arial"/>
                      <w:sz w:val="20"/>
                      <w:szCs w:val="20"/>
                    </w:rPr>
                  </w:pPr>
                </w:p>
              </w:tc>
            </w:tr>
          </w:tbl>
          <w:p w14:paraId="4C6BBDB0" w14:textId="77777777" w:rsidR="0080344B" w:rsidRPr="00D86243" w:rsidRDefault="0080344B" w:rsidP="00B23AD1">
            <w:pPr>
              <w:tabs>
                <w:tab w:val="right" w:pos="6732"/>
              </w:tabs>
              <w:rPr>
                <w:rFonts w:cs="Arial"/>
                <w:sz w:val="20"/>
                <w:szCs w:val="20"/>
              </w:rPr>
            </w:pPr>
          </w:p>
        </w:tc>
      </w:tr>
      <w:tr w:rsidR="0080344B" w:rsidRPr="00241A1F" w14:paraId="1971ECE6" w14:textId="77777777" w:rsidTr="0080344B">
        <w:tc>
          <w:tcPr>
            <w:tcW w:w="2627" w:type="dxa"/>
          </w:tcPr>
          <w:p w14:paraId="5C4AF812" w14:textId="77777777" w:rsidR="0080344B" w:rsidRPr="001D77F7" w:rsidRDefault="0080344B" w:rsidP="00B23AD1">
            <w:pPr>
              <w:rPr>
                <w:b/>
              </w:rPr>
            </w:pPr>
            <w:r w:rsidRPr="001D77F7">
              <w:rPr>
                <w:b/>
              </w:rPr>
              <w:t>Section 2. Calculation Methodology</w:t>
            </w:r>
          </w:p>
        </w:tc>
        <w:tc>
          <w:tcPr>
            <w:tcW w:w="6949" w:type="dxa"/>
          </w:tcPr>
          <w:p w14:paraId="431BB816" w14:textId="12E6D922" w:rsidR="0080344B" w:rsidRPr="00241A1F" w:rsidRDefault="00015FCD" w:rsidP="00B23AD1">
            <w:pPr>
              <w:rPr>
                <w:rFonts w:cs="Arial"/>
                <w:sz w:val="20"/>
                <w:szCs w:val="20"/>
              </w:rPr>
            </w:pPr>
            <w:r>
              <w:rPr>
                <w:rFonts w:cs="Arial"/>
                <w:sz w:val="20"/>
                <w:szCs w:val="20"/>
              </w:rPr>
              <w:t>Non-DEER</w:t>
            </w:r>
          </w:p>
        </w:tc>
      </w:tr>
      <w:tr w:rsidR="0080344B" w:rsidRPr="00555671" w14:paraId="62EB836B" w14:textId="77777777" w:rsidTr="0080344B">
        <w:tc>
          <w:tcPr>
            <w:tcW w:w="2627" w:type="dxa"/>
          </w:tcPr>
          <w:p w14:paraId="429A0347" w14:textId="77777777" w:rsidR="0080344B" w:rsidRDefault="0080344B" w:rsidP="00B23AD1">
            <w:pPr>
              <w:jc w:val="right"/>
            </w:pPr>
            <w:r>
              <w:rPr>
                <w:rFonts w:cs="Arial"/>
                <w:sz w:val="20"/>
                <w:szCs w:val="20"/>
              </w:rPr>
              <w:t>Energy Savings/Peak Demand Reduction – All Measures</w:t>
            </w:r>
          </w:p>
        </w:tc>
        <w:tc>
          <w:tcPr>
            <w:tcW w:w="6949" w:type="dxa"/>
          </w:tcPr>
          <w:p w14:paraId="297C9ED3" w14:textId="77777777" w:rsidR="0080344B" w:rsidRPr="00A965B2" w:rsidRDefault="0080344B" w:rsidP="00B23AD1">
            <w:pPr>
              <w:rPr>
                <w:b/>
                <w:sz w:val="20"/>
                <w:szCs w:val="20"/>
              </w:rPr>
            </w:pPr>
            <w:r w:rsidRPr="00A965B2">
              <w:rPr>
                <w:b/>
                <w:sz w:val="20"/>
                <w:szCs w:val="20"/>
              </w:rPr>
              <w:t>As cited in SCE’s workpaper the Savings are:</w:t>
            </w:r>
          </w:p>
          <w:p w14:paraId="73CD66ED" w14:textId="70FB1E2D" w:rsidR="00015FCD" w:rsidRDefault="00015FCD" w:rsidP="00B23AD1">
            <w:pPr>
              <w:rPr>
                <w:rFonts w:cs="Arial"/>
                <w:sz w:val="20"/>
                <w:szCs w:val="20"/>
              </w:rPr>
            </w:pPr>
            <w:r>
              <w:rPr>
                <w:rFonts w:cs="Arial"/>
                <w:sz w:val="20"/>
                <w:szCs w:val="20"/>
              </w:rPr>
              <w:t>All Climate Zones (Except for CZ15)</w:t>
            </w:r>
          </w:p>
          <w:tbl>
            <w:tblPr>
              <w:tblStyle w:val="TableGrid"/>
              <w:tblW w:w="0" w:type="auto"/>
              <w:tblLook w:val="04A0" w:firstRow="1" w:lastRow="0" w:firstColumn="1" w:lastColumn="0" w:noHBand="0" w:noVBand="1"/>
            </w:tblPr>
            <w:tblGrid>
              <w:gridCol w:w="1343"/>
              <w:gridCol w:w="1343"/>
              <w:gridCol w:w="1344"/>
              <w:gridCol w:w="1344"/>
            </w:tblGrid>
            <w:tr w:rsidR="0080344B" w14:paraId="565A3A3C" w14:textId="77777777" w:rsidTr="00B23AD1">
              <w:tc>
                <w:tcPr>
                  <w:tcW w:w="1343" w:type="dxa"/>
                </w:tcPr>
                <w:p w14:paraId="06A71B34" w14:textId="77777777" w:rsidR="0080344B" w:rsidRPr="00481A9D" w:rsidRDefault="0080344B" w:rsidP="00B23AD1">
                  <w:pPr>
                    <w:rPr>
                      <w:rFonts w:cs="Arial"/>
                      <w:sz w:val="20"/>
                      <w:szCs w:val="20"/>
                    </w:rPr>
                  </w:pPr>
                  <w:r w:rsidRPr="00F6244F">
                    <w:rPr>
                      <w:rFonts w:cs="Arial"/>
                      <w:sz w:val="20"/>
                      <w:szCs w:val="20"/>
                    </w:rPr>
                    <w:t xml:space="preserve">SCE Product </w:t>
                  </w:r>
                  <w:r w:rsidRPr="00481A9D">
                    <w:rPr>
                      <w:rFonts w:cs="Arial"/>
                      <w:sz w:val="20"/>
                      <w:szCs w:val="20"/>
                    </w:rPr>
                    <w:t>Code</w:t>
                  </w:r>
                </w:p>
              </w:tc>
              <w:tc>
                <w:tcPr>
                  <w:tcW w:w="1343" w:type="dxa"/>
                </w:tcPr>
                <w:p w14:paraId="53CB4E57" w14:textId="6704C4E3" w:rsidR="0080344B" w:rsidRPr="00481A9D" w:rsidRDefault="00015FCD" w:rsidP="00B23AD1">
                  <w:pPr>
                    <w:rPr>
                      <w:rFonts w:cs="Arial"/>
                      <w:sz w:val="20"/>
                      <w:szCs w:val="20"/>
                    </w:rPr>
                  </w:pPr>
                  <w:r>
                    <w:rPr>
                      <w:rFonts w:cs="Arial"/>
                      <w:sz w:val="20"/>
                      <w:szCs w:val="20"/>
                    </w:rPr>
                    <w:t xml:space="preserve">PG&amp;E </w:t>
                  </w:r>
                  <w:r w:rsidR="0080344B" w:rsidRPr="00481A9D">
                    <w:rPr>
                      <w:rFonts w:cs="Arial"/>
                      <w:sz w:val="20"/>
                      <w:szCs w:val="20"/>
                    </w:rPr>
                    <w:t>Product Cod</w:t>
                  </w:r>
                  <w:r w:rsidR="000415D9">
                    <w:rPr>
                      <w:rFonts w:cs="Arial"/>
                      <w:sz w:val="20"/>
                      <w:szCs w:val="20"/>
                    </w:rPr>
                    <w:t>e</w:t>
                  </w:r>
                </w:p>
              </w:tc>
              <w:tc>
                <w:tcPr>
                  <w:tcW w:w="1344" w:type="dxa"/>
                </w:tcPr>
                <w:p w14:paraId="39893F24" w14:textId="77777777" w:rsidR="0080344B" w:rsidRPr="00481A9D" w:rsidRDefault="0080344B" w:rsidP="00B23AD1">
                  <w:pPr>
                    <w:rPr>
                      <w:rFonts w:cs="Arial"/>
                      <w:sz w:val="20"/>
                      <w:szCs w:val="20"/>
                    </w:rPr>
                  </w:pPr>
                  <w:r w:rsidRPr="00481A9D">
                    <w:rPr>
                      <w:rFonts w:cs="Arial"/>
                      <w:sz w:val="20"/>
                      <w:szCs w:val="20"/>
                    </w:rPr>
                    <w:t>KWh/yr Savings</w:t>
                  </w:r>
                </w:p>
              </w:tc>
              <w:tc>
                <w:tcPr>
                  <w:tcW w:w="1344" w:type="dxa"/>
                </w:tcPr>
                <w:p w14:paraId="61481241" w14:textId="025335C0" w:rsidR="0080344B" w:rsidRPr="00481A9D" w:rsidRDefault="0080344B" w:rsidP="00B23AD1">
                  <w:pPr>
                    <w:rPr>
                      <w:rFonts w:cs="Arial"/>
                      <w:sz w:val="20"/>
                      <w:szCs w:val="20"/>
                    </w:rPr>
                  </w:pPr>
                  <w:r w:rsidRPr="00481A9D">
                    <w:rPr>
                      <w:rFonts w:cs="Arial"/>
                      <w:sz w:val="20"/>
                      <w:szCs w:val="20"/>
                    </w:rPr>
                    <w:t>KW</w:t>
                  </w:r>
                </w:p>
                <w:p w14:paraId="24F14113" w14:textId="77777777" w:rsidR="0080344B" w:rsidRPr="00481A9D" w:rsidRDefault="0080344B" w:rsidP="00B23AD1">
                  <w:pPr>
                    <w:rPr>
                      <w:rFonts w:cs="Arial"/>
                      <w:sz w:val="20"/>
                      <w:szCs w:val="20"/>
                    </w:rPr>
                  </w:pPr>
                  <w:r w:rsidRPr="00481A9D">
                    <w:rPr>
                      <w:rFonts w:cs="Arial"/>
                      <w:sz w:val="20"/>
                      <w:szCs w:val="20"/>
                    </w:rPr>
                    <w:t>Savings</w:t>
                  </w:r>
                </w:p>
              </w:tc>
            </w:tr>
            <w:tr w:rsidR="00015FCD" w14:paraId="68064DC1" w14:textId="77777777" w:rsidTr="00711D4E">
              <w:tc>
                <w:tcPr>
                  <w:tcW w:w="1343" w:type="dxa"/>
                </w:tcPr>
                <w:p w14:paraId="5E7902CF" w14:textId="2C67658B" w:rsidR="00015FCD" w:rsidRPr="00F6244F" w:rsidRDefault="00015FCD" w:rsidP="00B23AD1">
                  <w:pPr>
                    <w:rPr>
                      <w:rFonts w:cs="Arial"/>
                      <w:sz w:val="20"/>
                      <w:szCs w:val="20"/>
                    </w:rPr>
                  </w:pPr>
                  <w:r w:rsidRPr="00015FCD">
                    <w:rPr>
                      <w:rFonts w:cs="Arial"/>
                      <w:sz w:val="20"/>
                      <w:szCs w:val="20"/>
                    </w:rPr>
                    <w:t>PM-78394</w:t>
                  </w:r>
                </w:p>
              </w:tc>
              <w:tc>
                <w:tcPr>
                  <w:tcW w:w="1343" w:type="dxa"/>
                </w:tcPr>
                <w:p w14:paraId="636DB86E" w14:textId="373AA23D" w:rsidR="00015FCD" w:rsidRPr="00481A9D" w:rsidRDefault="00A219BD" w:rsidP="00B23AD1">
                  <w:pPr>
                    <w:rPr>
                      <w:rFonts w:cstheme="minorHAnsi"/>
                      <w:color w:val="FF0000"/>
                      <w:sz w:val="20"/>
                      <w:szCs w:val="20"/>
                    </w:rPr>
                  </w:pPr>
                  <w:r w:rsidRPr="00A219BD">
                    <w:rPr>
                      <w:rFonts w:cstheme="minorHAnsi"/>
                      <w:sz w:val="20"/>
                      <w:szCs w:val="20"/>
                    </w:rPr>
                    <w:t>PL001</w:t>
                  </w:r>
                </w:p>
              </w:tc>
              <w:tc>
                <w:tcPr>
                  <w:tcW w:w="1344" w:type="dxa"/>
                  <w:vAlign w:val="center"/>
                </w:tcPr>
                <w:p w14:paraId="0349501F" w14:textId="57FF15A3" w:rsidR="00015FCD" w:rsidRPr="00F6244F" w:rsidRDefault="00A4748B" w:rsidP="00B23AD1">
                  <w:pPr>
                    <w:jc w:val="center"/>
                    <w:rPr>
                      <w:rFonts w:cs="Arial"/>
                      <w:sz w:val="20"/>
                      <w:szCs w:val="20"/>
                    </w:rPr>
                  </w:pPr>
                  <w:r>
                    <w:rPr>
                      <w:rFonts w:ascii="Calibri" w:hAnsi="Calibri"/>
                      <w:color w:val="000000"/>
                      <w:sz w:val="18"/>
                      <w:szCs w:val="18"/>
                    </w:rPr>
                    <w:t>1,092.93</w:t>
                  </w:r>
                </w:p>
              </w:tc>
              <w:tc>
                <w:tcPr>
                  <w:tcW w:w="1344" w:type="dxa"/>
                  <w:vAlign w:val="center"/>
                </w:tcPr>
                <w:p w14:paraId="2E9367EA" w14:textId="18DD255E" w:rsidR="00015FCD" w:rsidRPr="00F6244F" w:rsidRDefault="00A4748B" w:rsidP="00B23AD1">
                  <w:pPr>
                    <w:jc w:val="center"/>
                    <w:rPr>
                      <w:rFonts w:cs="Arial"/>
                      <w:sz w:val="20"/>
                      <w:szCs w:val="20"/>
                    </w:rPr>
                  </w:pPr>
                  <w:r>
                    <w:rPr>
                      <w:rFonts w:ascii="Calibri" w:hAnsi="Calibri"/>
                      <w:color w:val="000000"/>
                      <w:sz w:val="18"/>
                      <w:szCs w:val="18"/>
                    </w:rPr>
                    <w:t>0</w:t>
                  </w:r>
                </w:p>
              </w:tc>
            </w:tr>
          </w:tbl>
          <w:p w14:paraId="3CA00BA5" w14:textId="177A188A" w:rsidR="0080344B" w:rsidRPr="00555671" w:rsidRDefault="0080344B" w:rsidP="00015FCD">
            <w:pPr>
              <w:rPr>
                <w:rFonts w:cs="Arial"/>
                <w:sz w:val="20"/>
                <w:szCs w:val="20"/>
              </w:rPr>
            </w:pPr>
            <w:r>
              <w:rPr>
                <w:rFonts w:cs="Arial"/>
                <w:sz w:val="20"/>
                <w:szCs w:val="20"/>
              </w:rPr>
              <w:t xml:space="preserve"> </w:t>
            </w:r>
          </w:p>
        </w:tc>
      </w:tr>
      <w:tr w:rsidR="0080344B" w:rsidRPr="00476F40" w14:paraId="062F1FF2" w14:textId="77777777" w:rsidTr="0080344B">
        <w:tc>
          <w:tcPr>
            <w:tcW w:w="2627" w:type="dxa"/>
          </w:tcPr>
          <w:p w14:paraId="001D8ED8" w14:textId="77777777" w:rsidR="0080344B" w:rsidRPr="001D77F7" w:rsidRDefault="0080344B" w:rsidP="00B23AD1">
            <w:pPr>
              <w:rPr>
                <w:b/>
              </w:rPr>
            </w:pPr>
            <w:r w:rsidRPr="001D77F7">
              <w:rPr>
                <w:b/>
              </w:rPr>
              <w:t>Section 3. Load Shapes</w:t>
            </w:r>
          </w:p>
        </w:tc>
        <w:tc>
          <w:tcPr>
            <w:tcW w:w="6949" w:type="dxa"/>
          </w:tcPr>
          <w:p w14:paraId="08FDA853" w14:textId="6416CC4E" w:rsidR="0080344B" w:rsidRPr="00015FCD" w:rsidRDefault="00015FCD" w:rsidP="00B23AD1">
            <w:pPr>
              <w:tabs>
                <w:tab w:val="right" w:pos="6732"/>
              </w:tabs>
              <w:rPr>
                <w:rFonts w:cs="Arial"/>
                <w:sz w:val="20"/>
                <w:szCs w:val="20"/>
              </w:rPr>
            </w:pPr>
            <w:r w:rsidRPr="00015FCD">
              <w:rPr>
                <w:sz w:val="20"/>
                <w:szCs w:val="20"/>
              </w:rPr>
              <w:t>Residential Pool Pumps</w:t>
            </w:r>
          </w:p>
        </w:tc>
      </w:tr>
      <w:tr w:rsidR="0080344B" w:rsidRPr="00476F40" w14:paraId="22D46F78" w14:textId="77777777" w:rsidTr="0080344B">
        <w:tc>
          <w:tcPr>
            <w:tcW w:w="2627" w:type="dxa"/>
          </w:tcPr>
          <w:p w14:paraId="58E933B6" w14:textId="77777777" w:rsidR="0080344B" w:rsidRPr="001D77F7" w:rsidRDefault="0080344B" w:rsidP="00B23AD1">
            <w:pPr>
              <w:rPr>
                <w:b/>
              </w:rPr>
            </w:pPr>
            <w:r w:rsidRPr="001D77F7">
              <w:rPr>
                <w:b/>
              </w:rPr>
              <w:t>Section 4. Costs</w:t>
            </w:r>
          </w:p>
        </w:tc>
        <w:tc>
          <w:tcPr>
            <w:tcW w:w="6949" w:type="dxa"/>
          </w:tcPr>
          <w:p w14:paraId="75679BE4" w14:textId="1A7D40F2" w:rsidR="0080344B" w:rsidRPr="001362B9" w:rsidRDefault="0080344B" w:rsidP="00B23AD1">
            <w:pPr>
              <w:rPr>
                <w:sz w:val="20"/>
                <w:szCs w:val="20"/>
              </w:rPr>
            </w:pPr>
            <w:r w:rsidRPr="00A965B2">
              <w:rPr>
                <w:sz w:val="20"/>
                <w:szCs w:val="20"/>
              </w:rPr>
              <w:t xml:space="preserve">The </w:t>
            </w:r>
            <w:r w:rsidR="0053140A">
              <w:rPr>
                <w:sz w:val="20"/>
                <w:szCs w:val="20"/>
              </w:rPr>
              <w:t>c</w:t>
            </w:r>
            <w:r w:rsidRPr="00A965B2">
              <w:rPr>
                <w:sz w:val="20"/>
                <w:szCs w:val="20"/>
              </w:rPr>
              <w:t>ost</w:t>
            </w:r>
            <w:r w:rsidR="0053140A">
              <w:rPr>
                <w:sz w:val="20"/>
                <w:szCs w:val="20"/>
              </w:rPr>
              <w:t>s</w:t>
            </w:r>
            <w:r w:rsidRPr="00A965B2">
              <w:rPr>
                <w:sz w:val="20"/>
                <w:szCs w:val="20"/>
              </w:rPr>
              <w:t xml:space="preserve"> </w:t>
            </w:r>
            <w:r w:rsidR="0053140A">
              <w:rPr>
                <w:sz w:val="20"/>
                <w:szCs w:val="20"/>
              </w:rPr>
              <w:t>are</w:t>
            </w:r>
            <w:r w:rsidRPr="00A965B2">
              <w:rPr>
                <w:sz w:val="20"/>
                <w:szCs w:val="20"/>
              </w:rPr>
              <w:t xml:space="preserve"> obtained from costs documented by SCE work paper “</w:t>
            </w:r>
            <w:r w:rsidR="00221176">
              <w:rPr>
                <w:sz w:val="20"/>
                <w:szCs w:val="20"/>
              </w:rPr>
              <w:t>SCE17WP001.1</w:t>
            </w:r>
            <w:r w:rsidR="0053140A" w:rsidRPr="0053140A">
              <w:rPr>
                <w:sz w:val="20"/>
                <w:szCs w:val="20"/>
              </w:rPr>
              <w:t xml:space="preserve"> - Residential Pool Pump VFD_Final.docx</w:t>
            </w:r>
            <w:r w:rsidR="0053140A">
              <w:rPr>
                <w:sz w:val="20"/>
                <w:szCs w:val="20"/>
              </w:rPr>
              <w:t>” S</w:t>
            </w:r>
            <w:r w:rsidRPr="00A965B2">
              <w:rPr>
                <w:sz w:val="20"/>
                <w:szCs w:val="20"/>
              </w:rPr>
              <w:t>ection 4- Cost</w:t>
            </w:r>
            <w:r w:rsidR="0053140A">
              <w:rPr>
                <w:sz w:val="20"/>
                <w:szCs w:val="20"/>
              </w:rPr>
              <w:t>s</w:t>
            </w:r>
            <w:r w:rsidRPr="00A965B2">
              <w:rPr>
                <w:sz w:val="20"/>
                <w:szCs w:val="20"/>
              </w:rPr>
              <w:t xml:space="preserve">.  </w:t>
            </w:r>
          </w:p>
        </w:tc>
      </w:tr>
      <w:tr w:rsidR="0080344B" w:rsidRPr="00393EC8" w14:paraId="03C684F4" w14:textId="77777777" w:rsidTr="0080344B">
        <w:tc>
          <w:tcPr>
            <w:tcW w:w="2627" w:type="dxa"/>
          </w:tcPr>
          <w:p w14:paraId="4AC508F6" w14:textId="77777777" w:rsidR="0080344B" w:rsidRPr="00393EC8" w:rsidRDefault="0080344B" w:rsidP="00B23AD1">
            <w:pPr>
              <w:rPr>
                <w:b/>
              </w:rPr>
            </w:pPr>
            <w:r w:rsidRPr="00393EC8">
              <w:rPr>
                <w:b/>
              </w:rPr>
              <w:t xml:space="preserve">Section 4.1 </w:t>
            </w:r>
            <w:r>
              <w:rPr>
                <w:b/>
              </w:rPr>
              <w:t>Base and Measure Costs</w:t>
            </w:r>
          </w:p>
        </w:tc>
        <w:tc>
          <w:tcPr>
            <w:tcW w:w="6949" w:type="dxa"/>
          </w:tcPr>
          <w:p w14:paraId="03F5B251" w14:textId="0DB12A32" w:rsidR="0080344B" w:rsidRPr="0031701E" w:rsidRDefault="00CB0E11" w:rsidP="00B23AD1">
            <w:pPr>
              <w:rPr>
                <w:sz w:val="20"/>
              </w:rPr>
            </w:pPr>
            <w:r w:rsidRPr="0031701E">
              <w:rPr>
                <w:sz w:val="20"/>
              </w:rPr>
              <w:t>Note: PG&amp;E’s database does not allow separate fields for base case labor cost and measure case labor cost. Therefore, in PG&amp;E ex ante data, for non-DI measures, the programming cost of $65.85 is added to the measure case material cost ($1,071 + $65.85 = $1,136.85)</w:t>
            </w:r>
            <w:r w:rsidR="0031701E" w:rsidRPr="0031701E">
              <w:rPr>
                <w:sz w:val="20"/>
              </w:rPr>
              <w:t xml:space="preserve"> rather than the measure case labor cost</w:t>
            </w:r>
            <w:r w:rsidRPr="0031701E">
              <w:rPr>
                <w:sz w:val="20"/>
              </w:rPr>
              <w:t xml:space="preserve">.  </w:t>
            </w:r>
          </w:p>
        </w:tc>
      </w:tr>
      <w:tr w:rsidR="0080344B" w14:paraId="42402323" w14:textId="77777777" w:rsidTr="0080344B">
        <w:tc>
          <w:tcPr>
            <w:tcW w:w="2627" w:type="dxa"/>
          </w:tcPr>
          <w:p w14:paraId="71E7289A" w14:textId="25A2D240" w:rsidR="0080344B" w:rsidRPr="00122898" w:rsidRDefault="0080344B" w:rsidP="000041A4">
            <w:pPr>
              <w:jc w:val="center"/>
              <w:rPr>
                <w:sz w:val="20"/>
                <w:szCs w:val="20"/>
              </w:rPr>
            </w:pPr>
            <w:r w:rsidRPr="00122898">
              <w:rPr>
                <w:sz w:val="20"/>
                <w:szCs w:val="20"/>
              </w:rPr>
              <w:t>Base Cost</w:t>
            </w:r>
          </w:p>
        </w:tc>
        <w:tc>
          <w:tcPr>
            <w:tcW w:w="6949" w:type="dxa"/>
          </w:tcPr>
          <w:p w14:paraId="4C0DA357" w14:textId="5DFAE6DA" w:rsidR="0080344B" w:rsidRPr="00122898" w:rsidRDefault="0080344B" w:rsidP="00B23AD1">
            <w:pPr>
              <w:tabs>
                <w:tab w:val="right" w:pos="6732"/>
              </w:tabs>
              <w:rPr>
                <w:rFonts w:cs="Arial"/>
                <w:sz w:val="20"/>
                <w:szCs w:val="20"/>
              </w:rPr>
            </w:pPr>
            <w:r w:rsidRPr="00122898">
              <w:rPr>
                <w:rFonts w:cs="Arial"/>
                <w:sz w:val="20"/>
                <w:szCs w:val="20"/>
              </w:rPr>
              <w:t>As cited per SCE workpaper</w:t>
            </w:r>
            <w:r w:rsidR="002A6BD8">
              <w:rPr>
                <w:rFonts w:cs="Arial"/>
                <w:sz w:val="20"/>
                <w:szCs w:val="20"/>
              </w:rPr>
              <w:t xml:space="preserve"> (includes labor cost)</w:t>
            </w:r>
          </w:p>
        </w:tc>
      </w:tr>
      <w:tr w:rsidR="0053140A" w:rsidRPr="00476F40" w14:paraId="58A12759" w14:textId="77777777" w:rsidTr="003B50BD">
        <w:trPr>
          <w:trHeight w:val="70"/>
        </w:trPr>
        <w:tc>
          <w:tcPr>
            <w:tcW w:w="2627" w:type="dxa"/>
            <w:vAlign w:val="center"/>
          </w:tcPr>
          <w:p w14:paraId="3190CA16" w14:textId="41113C81" w:rsidR="0053140A" w:rsidRPr="00122898" w:rsidRDefault="002A6BD8" w:rsidP="000041A4">
            <w:pPr>
              <w:jc w:val="center"/>
              <w:rPr>
                <w:rFonts w:cs="Arial"/>
                <w:sz w:val="20"/>
                <w:szCs w:val="20"/>
              </w:rPr>
            </w:pPr>
            <w:r w:rsidRPr="00A219BD">
              <w:rPr>
                <w:rFonts w:cstheme="minorHAnsi"/>
                <w:sz w:val="20"/>
                <w:szCs w:val="20"/>
              </w:rPr>
              <w:t>PL001</w:t>
            </w:r>
          </w:p>
        </w:tc>
        <w:tc>
          <w:tcPr>
            <w:tcW w:w="6949" w:type="dxa"/>
            <w:vAlign w:val="center"/>
          </w:tcPr>
          <w:p w14:paraId="1AA575B3" w14:textId="22DAF9F4" w:rsidR="0053140A" w:rsidRPr="00122898" w:rsidRDefault="00CB0E11" w:rsidP="00B23AD1">
            <w:pPr>
              <w:tabs>
                <w:tab w:val="right" w:pos="6732"/>
              </w:tabs>
              <w:rPr>
                <w:rFonts w:cs="Arial"/>
                <w:sz w:val="20"/>
                <w:szCs w:val="20"/>
              </w:rPr>
            </w:pPr>
            <w:r>
              <w:rPr>
                <w:rFonts w:ascii="Calibri" w:hAnsi="Calibri"/>
                <w:color w:val="000000"/>
                <w:sz w:val="20"/>
                <w:szCs w:val="20"/>
              </w:rPr>
              <w:t xml:space="preserve">$591.24 (material) + $613.59 (labor) = </w:t>
            </w:r>
            <w:r w:rsidR="0053140A" w:rsidRPr="00122898">
              <w:rPr>
                <w:rFonts w:ascii="Calibri" w:hAnsi="Calibri"/>
                <w:color w:val="000000"/>
                <w:sz w:val="20"/>
                <w:szCs w:val="20"/>
              </w:rPr>
              <w:t>$1,204.83</w:t>
            </w:r>
          </w:p>
        </w:tc>
      </w:tr>
      <w:tr w:rsidR="0080344B" w:rsidRPr="00476F40" w14:paraId="3070FA00" w14:textId="77777777" w:rsidTr="0080344B">
        <w:tc>
          <w:tcPr>
            <w:tcW w:w="2627" w:type="dxa"/>
          </w:tcPr>
          <w:p w14:paraId="1CE54913" w14:textId="041C0EB6" w:rsidR="0080344B" w:rsidRPr="00122898" w:rsidRDefault="0080344B" w:rsidP="000041A4">
            <w:pPr>
              <w:jc w:val="center"/>
              <w:rPr>
                <w:sz w:val="20"/>
                <w:szCs w:val="20"/>
              </w:rPr>
            </w:pPr>
            <w:r w:rsidRPr="00122898">
              <w:rPr>
                <w:sz w:val="20"/>
                <w:szCs w:val="20"/>
              </w:rPr>
              <w:t>Measure Cost</w:t>
            </w:r>
          </w:p>
        </w:tc>
        <w:tc>
          <w:tcPr>
            <w:tcW w:w="6949" w:type="dxa"/>
          </w:tcPr>
          <w:p w14:paraId="23312BFB" w14:textId="4C475FDD" w:rsidR="0080344B" w:rsidRPr="00122898" w:rsidRDefault="002A6BD8" w:rsidP="00B23AD1">
            <w:pPr>
              <w:tabs>
                <w:tab w:val="right" w:pos="6732"/>
              </w:tabs>
              <w:rPr>
                <w:rFonts w:cs="Arial"/>
                <w:sz w:val="20"/>
                <w:szCs w:val="20"/>
              </w:rPr>
            </w:pPr>
            <w:r w:rsidRPr="00122898">
              <w:rPr>
                <w:rFonts w:cs="Arial"/>
                <w:sz w:val="20"/>
                <w:szCs w:val="20"/>
              </w:rPr>
              <w:t>As cited per SCE workpaper</w:t>
            </w:r>
            <w:r>
              <w:rPr>
                <w:rFonts w:cs="Arial"/>
                <w:sz w:val="20"/>
                <w:szCs w:val="20"/>
              </w:rPr>
              <w:t xml:space="preserve"> (includes labor cost)</w:t>
            </w:r>
            <w:r w:rsidR="0080344B" w:rsidRPr="00122898">
              <w:rPr>
                <w:rFonts w:cs="Arial"/>
                <w:sz w:val="20"/>
                <w:szCs w:val="20"/>
              </w:rPr>
              <w:tab/>
            </w:r>
          </w:p>
        </w:tc>
      </w:tr>
      <w:tr w:rsidR="0053140A" w14:paraId="3F0C2DF5" w14:textId="77777777" w:rsidTr="001B3894">
        <w:tc>
          <w:tcPr>
            <w:tcW w:w="2627" w:type="dxa"/>
            <w:vAlign w:val="center"/>
          </w:tcPr>
          <w:p w14:paraId="7933A637" w14:textId="6776D344" w:rsidR="0053140A" w:rsidRPr="00122898" w:rsidRDefault="002A6BD8" w:rsidP="000041A4">
            <w:pPr>
              <w:jc w:val="center"/>
              <w:rPr>
                <w:rFonts w:cs="Arial"/>
                <w:sz w:val="20"/>
                <w:szCs w:val="20"/>
              </w:rPr>
            </w:pPr>
            <w:r w:rsidRPr="00A219BD">
              <w:rPr>
                <w:rFonts w:cstheme="minorHAnsi"/>
                <w:sz w:val="20"/>
                <w:szCs w:val="20"/>
              </w:rPr>
              <w:t>PL001</w:t>
            </w:r>
          </w:p>
        </w:tc>
        <w:tc>
          <w:tcPr>
            <w:tcW w:w="6949" w:type="dxa"/>
            <w:vAlign w:val="center"/>
          </w:tcPr>
          <w:p w14:paraId="4D7C927A" w14:textId="54E3281F" w:rsidR="0053140A" w:rsidRPr="00122898" w:rsidRDefault="00CB0E11" w:rsidP="00B23AD1">
            <w:pPr>
              <w:tabs>
                <w:tab w:val="right" w:pos="6732"/>
              </w:tabs>
              <w:rPr>
                <w:rFonts w:cs="Arial"/>
                <w:sz w:val="20"/>
                <w:szCs w:val="20"/>
              </w:rPr>
            </w:pPr>
            <w:r>
              <w:rPr>
                <w:rFonts w:ascii="Calibri" w:hAnsi="Calibri"/>
                <w:color w:val="000000"/>
                <w:sz w:val="20"/>
                <w:szCs w:val="20"/>
              </w:rPr>
              <w:t xml:space="preserve">$1,071.00 (material) + $679.44 (labor) = </w:t>
            </w:r>
            <w:r w:rsidR="0053140A" w:rsidRPr="00122898">
              <w:rPr>
                <w:rFonts w:ascii="Calibri" w:hAnsi="Calibri"/>
                <w:color w:val="000000"/>
                <w:sz w:val="20"/>
                <w:szCs w:val="20"/>
              </w:rPr>
              <w:t>$1,750.44</w:t>
            </w:r>
          </w:p>
        </w:tc>
      </w:tr>
      <w:tr w:rsidR="00122898" w14:paraId="3EFFF86F" w14:textId="77777777" w:rsidTr="006A2CEB">
        <w:tc>
          <w:tcPr>
            <w:tcW w:w="2627" w:type="dxa"/>
            <w:vAlign w:val="center"/>
          </w:tcPr>
          <w:p w14:paraId="3BA4C2D1" w14:textId="645BD803" w:rsidR="00122898" w:rsidRPr="00122898" w:rsidRDefault="00122898" w:rsidP="000041A4">
            <w:pPr>
              <w:jc w:val="center"/>
              <w:rPr>
                <w:rFonts w:ascii="Calibri" w:hAnsi="Calibri"/>
                <w:color w:val="000000"/>
                <w:sz w:val="20"/>
                <w:szCs w:val="20"/>
              </w:rPr>
            </w:pPr>
            <w:r w:rsidRPr="00122898">
              <w:rPr>
                <w:rFonts w:ascii="Calibri" w:hAnsi="Calibri"/>
                <w:color w:val="000000"/>
                <w:sz w:val="20"/>
                <w:szCs w:val="20"/>
              </w:rPr>
              <w:t>Incremental Cost</w:t>
            </w:r>
          </w:p>
        </w:tc>
        <w:tc>
          <w:tcPr>
            <w:tcW w:w="6949" w:type="dxa"/>
            <w:vAlign w:val="center"/>
          </w:tcPr>
          <w:p w14:paraId="3AD2AB3C" w14:textId="77777777" w:rsidR="00122898" w:rsidRPr="00122898" w:rsidRDefault="00122898" w:rsidP="00B23AD1">
            <w:pPr>
              <w:tabs>
                <w:tab w:val="right" w:pos="6732"/>
              </w:tabs>
              <w:rPr>
                <w:rFonts w:ascii="Calibri" w:hAnsi="Calibri"/>
                <w:color w:val="000000"/>
                <w:sz w:val="20"/>
                <w:szCs w:val="20"/>
              </w:rPr>
            </w:pPr>
          </w:p>
        </w:tc>
      </w:tr>
      <w:tr w:rsidR="00122898" w14:paraId="6719AD8D" w14:textId="77777777" w:rsidTr="006A2CEB">
        <w:tc>
          <w:tcPr>
            <w:tcW w:w="2627" w:type="dxa"/>
            <w:vAlign w:val="center"/>
          </w:tcPr>
          <w:p w14:paraId="455CE9BA" w14:textId="46981369" w:rsidR="00122898" w:rsidRPr="00122898" w:rsidRDefault="002A6BD8" w:rsidP="000041A4">
            <w:pPr>
              <w:jc w:val="center"/>
              <w:rPr>
                <w:rFonts w:ascii="Calibri" w:hAnsi="Calibri"/>
                <w:color w:val="000000"/>
                <w:sz w:val="20"/>
                <w:szCs w:val="20"/>
              </w:rPr>
            </w:pPr>
            <w:r w:rsidRPr="00A219BD">
              <w:rPr>
                <w:rFonts w:cstheme="minorHAnsi"/>
                <w:sz w:val="20"/>
                <w:szCs w:val="20"/>
              </w:rPr>
              <w:t>PL001</w:t>
            </w:r>
          </w:p>
        </w:tc>
        <w:tc>
          <w:tcPr>
            <w:tcW w:w="6949" w:type="dxa"/>
            <w:vAlign w:val="center"/>
          </w:tcPr>
          <w:p w14:paraId="187F4F80" w14:textId="49092D7C" w:rsidR="00122898" w:rsidRPr="00122898" w:rsidRDefault="002A6BD8" w:rsidP="007E52D9">
            <w:pPr>
              <w:tabs>
                <w:tab w:val="right" w:pos="6732"/>
              </w:tabs>
              <w:rPr>
                <w:rFonts w:ascii="Calibri" w:hAnsi="Calibri"/>
                <w:color w:val="000000"/>
                <w:sz w:val="20"/>
                <w:szCs w:val="20"/>
              </w:rPr>
            </w:pPr>
            <w:r>
              <w:rPr>
                <w:rFonts w:ascii="Calibri" w:hAnsi="Calibri"/>
                <w:color w:val="000000"/>
                <w:sz w:val="20"/>
                <w:szCs w:val="20"/>
              </w:rPr>
              <w:t>$545.61 (mid-stream and down-stream)</w:t>
            </w:r>
          </w:p>
        </w:tc>
      </w:tr>
      <w:tr w:rsidR="002A6BD8" w14:paraId="53D9BE85" w14:textId="77777777" w:rsidTr="006A2CEB">
        <w:tc>
          <w:tcPr>
            <w:tcW w:w="2627" w:type="dxa"/>
            <w:vAlign w:val="center"/>
          </w:tcPr>
          <w:p w14:paraId="36961CDB" w14:textId="636ED965" w:rsidR="002A6BD8" w:rsidRPr="00122898" w:rsidRDefault="002A6BD8" w:rsidP="000041A4">
            <w:pPr>
              <w:jc w:val="center"/>
              <w:rPr>
                <w:rFonts w:ascii="Calibri" w:hAnsi="Calibri"/>
                <w:color w:val="000000"/>
                <w:sz w:val="20"/>
                <w:szCs w:val="20"/>
              </w:rPr>
            </w:pPr>
            <w:r>
              <w:rPr>
                <w:rFonts w:ascii="Calibri" w:hAnsi="Calibri"/>
                <w:color w:val="000000"/>
                <w:sz w:val="20"/>
                <w:szCs w:val="20"/>
              </w:rPr>
              <w:t>Full Measure Cost</w:t>
            </w:r>
          </w:p>
        </w:tc>
        <w:tc>
          <w:tcPr>
            <w:tcW w:w="6949" w:type="dxa"/>
            <w:vAlign w:val="center"/>
          </w:tcPr>
          <w:p w14:paraId="37DDD24E" w14:textId="77777777" w:rsidR="002A6BD8" w:rsidRPr="00122898" w:rsidRDefault="002A6BD8" w:rsidP="00B23AD1">
            <w:pPr>
              <w:tabs>
                <w:tab w:val="right" w:pos="6732"/>
              </w:tabs>
              <w:rPr>
                <w:rFonts w:ascii="Calibri" w:hAnsi="Calibri"/>
                <w:color w:val="000000"/>
                <w:sz w:val="20"/>
                <w:szCs w:val="20"/>
              </w:rPr>
            </w:pPr>
          </w:p>
        </w:tc>
      </w:tr>
      <w:tr w:rsidR="002A6BD8" w14:paraId="10D955E4" w14:textId="77777777" w:rsidTr="006A2CEB">
        <w:tc>
          <w:tcPr>
            <w:tcW w:w="2627" w:type="dxa"/>
            <w:vAlign w:val="center"/>
          </w:tcPr>
          <w:p w14:paraId="53FB12B2" w14:textId="720872E9" w:rsidR="002A6BD8" w:rsidRDefault="000041A4" w:rsidP="000041A4">
            <w:pPr>
              <w:jc w:val="center"/>
              <w:rPr>
                <w:rFonts w:ascii="Calibri" w:hAnsi="Calibri"/>
                <w:color w:val="000000"/>
                <w:sz w:val="20"/>
                <w:szCs w:val="20"/>
              </w:rPr>
            </w:pPr>
            <w:r w:rsidRPr="00A219BD">
              <w:rPr>
                <w:rFonts w:cstheme="minorHAnsi"/>
                <w:sz w:val="20"/>
                <w:szCs w:val="20"/>
              </w:rPr>
              <w:t>PL001</w:t>
            </w:r>
          </w:p>
        </w:tc>
        <w:tc>
          <w:tcPr>
            <w:tcW w:w="6949" w:type="dxa"/>
            <w:vAlign w:val="center"/>
          </w:tcPr>
          <w:p w14:paraId="620910E0" w14:textId="0022CE09" w:rsidR="002A6BD8" w:rsidRPr="00122898" w:rsidRDefault="002A6BD8" w:rsidP="007E52D9">
            <w:pPr>
              <w:tabs>
                <w:tab w:val="right" w:pos="6732"/>
              </w:tabs>
              <w:rPr>
                <w:rFonts w:ascii="Calibri" w:hAnsi="Calibri"/>
                <w:color w:val="000000"/>
                <w:sz w:val="20"/>
                <w:szCs w:val="20"/>
              </w:rPr>
            </w:pPr>
            <w:r>
              <w:rPr>
                <w:rFonts w:ascii="Calibri" w:hAnsi="Calibri"/>
                <w:color w:val="000000"/>
                <w:sz w:val="20"/>
                <w:szCs w:val="20"/>
              </w:rPr>
              <w:t>$1,750.44 (direct-install)</w:t>
            </w:r>
          </w:p>
        </w:tc>
      </w:tr>
    </w:tbl>
    <w:p w14:paraId="52AA5DEB" w14:textId="28889EA7" w:rsidR="007D316A" w:rsidRPr="002A6BD8" w:rsidRDefault="007D316A" w:rsidP="002A6BD8">
      <w:pPr>
        <w:pStyle w:val="Heading2"/>
        <w:spacing w:before="0" w:after="0"/>
        <w:rPr>
          <w:rFonts w:asciiTheme="minorHAnsi" w:hAnsiTheme="minorHAnsi"/>
          <w:b w:val="0"/>
          <w:sz w:val="20"/>
          <w:szCs w:val="20"/>
        </w:rPr>
      </w:pPr>
      <w:bookmarkStart w:id="8" w:name="_MON_1399297811"/>
      <w:bookmarkEnd w:id="1"/>
      <w:bookmarkEnd w:id="8"/>
    </w:p>
    <w:sectPr w:rsidR="007D316A" w:rsidRPr="002A6BD8" w:rsidSect="00E87C8F">
      <w:footerReference w:type="default" r:id="rId13"/>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F79E1" w14:textId="77777777" w:rsidR="00DA0190" w:rsidRDefault="00DA0190" w:rsidP="00447D6E">
      <w:r>
        <w:separator/>
      </w:r>
    </w:p>
    <w:p w14:paraId="636367DB" w14:textId="77777777" w:rsidR="00DA0190" w:rsidRDefault="00DA0190"/>
  </w:endnote>
  <w:endnote w:type="continuationSeparator" w:id="0">
    <w:p w14:paraId="08FAE3E9" w14:textId="77777777" w:rsidR="00DA0190" w:rsidRDefault="00DA0190" w:rsidP="00447D6E">
      <w:r>
        <w:continuationSeparator/>
      </w:r>
    </w:p>
    <w:p w14:paraId="1C06096F" w14:textId="77777777" w:rsidR="00DA0190" w:rsidRDefault="00DA01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41D93" w14:textId="43F168CA" w:rsidR="007B59C1" w:rsidRDefault="00497FD2"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9-01-28T00:00:00Z">
          <w:dateFormat w:val="MMMM d, yyyy"/>
          <w:lid w:val="en-US"/>
          <w:storeMappedDataAs w:val="dateTime"/>
          <w:calendar w:val="gregorian"/>
        </w:date>
      </w:sdtPr>
      <w:sdtEndPr/>
      <w:sdtContent>
        <w:r w:rsidR="00BF14F1">
          <w:rPr>
            <w:rFonts w:cstheme="minorHAnsi"/>
            <w:b/>
            <w:sz w:val="36"/>
            <w:szCs w:val="36"/>
          </w:rPr>
          <w:t>January</w:t>
        </w:r>
        <w:r w:rsidR="007B59C1">
          <w:rPr>
            <w:rFonts w:cstheme="minorHAnsi"/>
            <w:b/>
            <w:sz w:val="36"/>
            <w:szCs w:val="36"/>
          </w:rPr>
          <w:t xml:space="preserve"> </w:t>
        </w:r>
        <w:r w:rsidR="0041281F">
          <w:rPr>
            <w:rFonts w:cstheme="minorHAnsi"/>
            <w:b/>
            <w:sz w:val="36"/>
            <w:szCs w:val="36"/>
          </w:rPr>
          <w:t>28</w:t>
        </w:r>
        <w:r w:rsidR="007B59C1">
          <w:rPr>
            <w:rFonts w:cstheme="minorHAnsi"/>
            <w:b/>
            <w:sz w:val="36"/>
            <w:szCs w:val="36"/>
          </w:rPr>
          <w:t>, 201</w:t>
        </w:r>
        <w:r w:rsidR="0041281F">
          <w:rPr>
            <w:rFonts w:cstheme="minorHAnsi"/>
            <w:b/>
            <w:sz w:val="36"/>
            <w:szCs w:val="36"/>
          </w:rPr>
          <w:t>9</w:t>
        </w:r>
      </w:sdtContent>
    </w:sdt>
  </w:p>
  <w:p w14:paraId="3EFF5782" w14:textId="77777777" w:rsidR="007B59C1" w:rsidRPr="009500DC" w:rsidRDefault="007B59C1"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D54E4" w14:textId="4DF0EAF5" w:rsidR="007B59C1" w:rsidRPr="009500DC" w:rsidRDefault="00497FD2"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7B59C1">
          <w:rPr>
            <w:rFonts w:cstheme="minorHAnsi"/>
            <w:b/>
            <w:sz w:val="20"/>
            <w:szCs w:val="20"/>
          </w:rPr>
          <w:t>PGECOPUM102</w:t>
        </w:r>
      </w:sdtContent>
    </w:sdt>
    <w:r w:rsidR="007B59C1">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7B59C1">
          <w:rPr>
            <w:rFonts w:cstheme="minorHAnsi"/>
            <w:b/>
            <w:sz w:val="20"/>
            <w:szCs w:val="20"/>
          </w:rPr>
          <w:t>Revision 8</w:t>
        </w:r>
      </w:sdtContent>
    </w:sdt>
    <w:r w:rsidR="007B59C1" w:rsidRPr="009500DC">
      <w:rPr>
        <w:rFonts w:cstheme="minorHAnsi"/>
        <w:b/>
        <w:sz w:val="20"/>
        <w:szCs w:val="20"/>
      </w:rPr>
      <w:tab/>
    </w:r>
    <w:r w:rsidR="007B59C1" w:rsidRPr="009500DC">
      <w:rPr>
        <w:rFonts w:cstheme="minorHAnsi"/>
        <w:b/>
        <w:sz w:val="20"/>
        <w:szCs w:val="20"/>
      </w:rPr>
      <w:fldChar w:fldCharType="begin"/>
    </w:r>
    <w:r w:rsidR="007B59C1" w:rsidRPr="009500DC">
      <w:rPr>
        <w:rFonts w:cstheme="minorHAnsi"/>
        <w:b/>
        <w:sz w:val="20"/>
        <w:szCs w:val="20"/>
      </w:rPr>
      <w:instrText xml:space="preserve"> PAGE   \* MERGEFORMAT </w:instrText>
    </w:r>
    <w:r w:rsidR="007B59C1" w:rsidRPr="009500DC">
      <w:rPr>
        <w:rFonts w:cstheme="minorHAnsi"/>
        <w:b/>
        <w:sz w:val="20"/>
        <w:szCs w:val="20"/>
      </w:rPr>
      <w:fldChar w:fldCharType="separate"/>
    </w:r>
    <w:r w:rsidR="006B040A">
      <w:rPr>
        <w:rFonts w:cstheme="minorHAnsi"/>
        <w:b/>
        <w:noProof/>
        <w:sz w:val="20"/>
        <w:szCs w:val="20"/>
      </w:rPr>
      <w:t>5</w:t>
    </w:r>
    <w:r w:rsidR="007B59C1" w:rsidRPr="009500DC">
      <w:rPr>
        <w:rFonts w:cstheme="minorHAnsi"/>
        <w:b/>
        <w:noProof/>
        <w:sz w:val="20"/>
        <w:szCs w:val="20"/>
      </w:rPr>
      <w:fldChar w:fldCharType="end"/>
    </w:r>
    <w:r w:rsidR="007B59C1"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9-01-28T00:00:00Z">
          <w:dateFormat w:val="MMMM d, yyyy"/>
          <w:lid w:val="en-US"/>
          <w:storeMappedDataAs w:val="dateTime"/>
          <w:calendar w:val="gregorian"/>
        </w:date>
      </w:sdtPr>
      <w:sdtEndPr/>
      <w:sdtContent>
        <w:r w:rsidR="0041281F">
          <w:rPr>
            <w:rFonts w:cstheme="minorHAnsi"/>
            <w:b/>
            <w:sz w:val="20"/>
            <w:szCs w:val="20"/>
          </w:rPr>
          <w:t>January 28, 2019</w:t>
        </w:r>
      </w:sdtContent>
    </w:sdt>
  </w:p>
  <w:p w14:paraId="5CBE6C1E" w14:textId="6530210E" w:rsidR="007B59C1" w:rsidRPr="009500DC" w:rsidRDefault="00497FD2"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0415D9">
          <w:rPr>
            <w:rFonts w:cstheme="minorHAnsi"/>
            <w:b/>
            <w:sz w:val="20"/>
            <w:szCs w:val="20"/>
          </w:rPr>
          <w:t>Pacific Gas &amp; Electric Company</w:t>
        </w:r>
      </w:sdtContent>
    </w:sdt>
  </w:p>
  <w:p w14:paraId="1046AB12" w14:textId="77777777" w:rsidR="007B59C1" w:rsidRDefault="007B59C1"/>
  <w:p w14:paraId="021D81CC" w14:textId="77777777" w:rsidR="007B59C1" w:rsidRDefault="007B59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3AD18" w14:textId="77777777" w:rsidR="00DA0190" w:rsidRDefault="00DA0190" w:rsidP="00447D6E">
      <w:r>
        <w:separator/>
      </w:r>
    </w:p>
    <w:p w14:paraId="108426FF" w14:textId="77777777" w:rsidR="00DA0190" w:rsidRDefault="00DA0190"/>
  </w:footnote>
  <w:footnote w:type="continuationSeparator" w:id="0">
    <w:p w14:paraId="6FACD4A7" w14:textId="77777777" w:rsidR="00DA0190" w:rsidRDefault="00DA0190" w:rsidP="00447D6E">
      <w:r>
        <w:continuationSeparator/>
      </w:r>
    </w:p>
    <w:p w14:paraId="546708B2" w14:textId="77777777" w:rsidR="00DA0190" w:rsidRDefault="00DA019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2745216"/>
    <w:lvl w:ilvl="0">
      <w:start w:val="1"/>
      <w:numFmt w:val="decimal"/>
      <w:pStyle w:val="ListNumber5"/>
      <w:lvlText w:val="%1."/>
      <w:lvlJc w:val="left"/>
      <w:pPr>
        <w:tabs>
          <w:tab w:val="num" w:pos="1800"/>
        </w:tabs>
        <w:ind w:left="1800" w:hanging="360"/>
      </w:pPr>
    </w:lvl>
  </w:abstractNum>
  <w:abstractNum w:abstractNumId="1"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9CF0248"/>
    <w:multiLevelType w:val="multilevel"/>
    <w:tmpl w:val="7BCEFF1A"/>
    <w:lvl w:ilvl="0">
      <w:start w:val="1"/>
      <w:numFmt w:val="decimal"/>
      <w:lvlText w:val="%1."/>
      <w:lvlJc w:val="left"/>
      <w:pPr>
        <w:tabs>
          <w:tab w:val="num" w:pos="720"/>
        </w:tabs>
        <w:ind w:left="720" w:hanging="360"/>
      </w:pPr>
    </w:lvl>
    <w:lvl w:ilvl="1">
      <w:start w:val="3"/>
      <w:numFmt w:val="decimal"/>
      <w:isLgl/>
      <w:lvlText w:val="%1.%2"/>
      <w:lvlJc w:val="left"/>
      <w:pPr>
        <w:tabs>
          <w:tab w:val="num" w:pos="735"/>
        </w:tabs>
        <w:ind w:left="735" w:hanging="37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A432313"/>
    <w:multiLevelType w:val="hybridMultilevel"/>
    <w:tmpl w:val="710C7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3407B2"/>
    <w:multiLevelType w:val="hybridMultilevel"/>
    <w:tmpl w:val="91308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566CC8"/>
    <w:multiLevelType w:val="hybridMultilevel"/>
    <w:tmpl w:val="522A8B3C"/>
    <w:lvl w:ilvl="0" w:tplc="04090001">
      <w:start w:val="1"/>
      <w:numFmt w:val="bullet"/>
      <w:lvlText w:val=""/>
      <w:lvlJc w:val="left"/>
      <w:pPr>
        <w:tabs>
          <w:tab w:val="num" w:pos="0"/>
        </w:tabs>
        <w:ind w:left="720" w:hanging="360"/>
      </w:pPr>
      <w:rPr>
        <w:rFonts w:ascii="Symbol" w:hAnsi="Symbol"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7F21D1B"/>
    <w:multiLevelType w:val="hybridMultilevel"/>
    <w:tmpl w:val="94924838"/>
    <w:lvl w:ilvl="0" w:tplc="D1D68B5C">
      <w:start w:val="1"/>
      <w:numFmt w:val="decimal"/>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C2009E0"/>
    <w:multiLevelType w:val="hybridMultilevel"/>
    <w:tmpl w:val="1DC8C51E"/>
    <w:lvl w:ilvl="0" w:tplc="93107068">
      <w:start w:val="1"/>
      <w:numFmt w:val="bullet"/>
      <w:lvlText w:val=""/>
      <w:lvlJc w:val="left"/>
      <w:pPr>
        <w:tabs>
          <w:tab w:val="num" w:pos="720"/>
        </w:tabs>
        <w:ind w:left="720" w:hanging="360"/>
      </w:pPr>
      <w:rPr>
        <w:rFonts w:ascii="Wingdings 3" w:hAnsi="Wingdings 3" w:hint="default"/>
      </w:rPr>
    </w:lvl>
    <w:lvl w:ilvl="1" w:tplc="A69A1110">
      <w:start w:val="38"/>
      <w:numFmt w:val="bullet"/>
      <w:lvlText w:val="o"/>
      <w:lvlJc w:val="left"/>
      <w:pPr>
        <w:tabs>
          <w:tab w:val="num" w:pos="1440"/>
        </w:tabs>
        <w:ind w:left="1440" w:hanging="360"/>
      </w:pPr>
      <w:rPr>
        <w:rFonts w:ascii="Courier New" w:hAnsi="Courier New" w:hint="default"/>
      </w:rPr>
    </w:lvl>
    <w:lvl w:ilvl="2" w:tplc="F10AB914" w:tentative="1">
      <w:start w:val="1"/>
      <w:numFmt w:val="bullet"/>
      <w:lvlText w:val=""/>
      <w:lvlJc w:val="left"/>
      <w:pPr>
        <w:tabs>
          <w:tab w:val="num" w:pos="2160"/>
        </w:tabs>
        <w:ind w:left="2160" w:hanging="360"/>
      </w:pPr>
      <w:rPr>
        <w:rFonts w:ascii="Wingdings 3" w:hAnsi="Wingdings 3" w:hint="default"/>
      </w:rPr>
    </w:lvl>
    <w:lvl w:ilvl="3" w:tplc="D2FA4DD4" w:tentative="1">
      <w:start w:val="1"/>
      <w:numFmt w:val="bullet"/>
      <w:lvlText w:val=""/>
      <w:lvlJc w:val="left"/>
      <w:pPr>
        <w:tabs>
          <w:tab w:val="num" w:pos="2880"/>
        </w:tabs>
        <w:ind w:left="2880" w:hanging="360"/>
      </w:pPr>
      <w:rPr>
        <w:rFonts w:ascii="Wingdings 3" w:hAnsi="Wingdings 3" w:hint="default"/>
      </w:rPr>
    </w:lvl>
    <w:lvl w:ilvl="4" w:tplc="0D7A5998" w:tentative="1">
      <w:start w:val="1"/>
      <w:numFmt w:val="bullet"/>
      <w:lvlText w:val=""/>
      <w:lvlJc w:val="left"/>
      <w:pPr>
        <w:tabs>
          <w:tab w:val="num" w:pos="3600"/>
        </w:tabs>
        <w:ind w:left="3600" w:hanging="360"/>
      </w:pPr>
      <w:rPr>
        <w:rFonts w:ascii="Wingdings 3" w:hAnsi="Wingdings 3" w:hint="default"/>
      </w:rPr>
    </w:lvl>
    <w:lvl w:ilvl="5" w:tplc="8CE0E9D4" w:tentative="1">
      <w:start w:val="1"/>
      <w:numFmt w:val="bullet"/>
      <w:lvlText w:val=""/>
      <w:lvlJc w:val="left"/>
      <w:pPr>
        <w:tabs>
          <w:tab w:val="num" w:pos="4320"/>
        </w:tabs>
        <w:ind w:left="4320" w:hanging="360"/>
      </w:pPr>
      <w:rPr>
        <w:rFonts w:ascii="Wingdings 3" w:hAnsi="Wingdings 3" w:hint="default"/>
      </w:rPr>
    </w:lvl>
    <w:lvl w:ilvl="6" w:tplc="E8A22648" w:tentative="1">
      <w:start w:val="1"/>
      <w:numFmt w:val="bullet"/>
      <w:lvlText w:val=""/>
      <w:lvlJc w:val="left"/>
      <w:pPr>
        <w:tabs>
          <w:tab w:val="num" w:pos="5040"/>
        </w:tabs>
        <w:ind w:left="5040" w:hanging="360"/>
      </w:pPr>
      <w:rPr>
        <w:rFonts w:ascii="Wingdings 3" w:hAnsi="Wingdings 3" w:hint="default"/>
      </w:rPr>
    </w:lvl>
    <w:lvl w:ilvl="7" w:tplc="06A8AF6A" w:tentative="1">
      <w:start w:val="1"/>
      <w:numFmt w:val="bullet"/>
      <w:lvlText w:val=""/>
      <w:lvlJc w:val="left"/>
      <w:pPr>
        <w:tabs>
          <w:tab w:val="num" w:pos="5760"/>
        </w:tabs>
        <w:ind w:left="5760" w:hanging="360"/>
      </w:pPr>
      <w:rPr>
        <w:rFonts w:ascii="Wingdings 3" w:hAnsi="Wingdings 3" w:hint="default"/>
      </w:rPr>
    </w:lvl>
    <w:lvl w:ilvl="8" w:tplc="F620DAC0"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32AA715F"/>
    <w:multiLevelType w:val="hybridMultilevel"/>
    <w:tmpl w:val="159A2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A1641E"/>
    <w:multiLevelType w:val="hybridMultilevel"/>
    <w:tmpl w:val="3DD2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6C1216"/>
    <w:multiLevelType w:val="hybridMultilevel"/>
    <w:tmpl w:val="195AE3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6D579D"/>
    <w:multiLevelType w:val="hybridMultilevel"/>
    <w:tmpl w:val="02E2082E"/>
    <w:lvl w:ilvl="0" w:tplc="177442D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AE7C1D"/>
    <w:multiLevelType w:val="hybridMultilevel"/>
    <w:tmpl w:val="6C9C2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0A4302"/>
    <w:multiLevelType w:val="hybridMultilevel"/>
    <w:tmpl w:val="B11AB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B34E58"/>
    <w:multiLevelType w:val="hybridMultilevel"/>
    <w:tmpl w:val="4C2806C8"/>
    <w:lvl w:ilvl="0" w:tplc="04090001">
      <w:start w:val="1"/>
      <w:numFmt w:val="bullet"/>
      <w:lvlText w:val=""/>
      <w:lvlJc w:val="left"/>
      <w:pPr>
        <w:tabs>
          <w:tab w:val="num" w:pos="0"/>
        </w:tabs>
        <w:ind w:left="720" w:hanging="360"/>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6" w15:restartNumberingAfterBreak="0">
    <w:nsid w:val="56D8678E"/>
    <w:multiLevelType w:val="hybridMultilevel"/>
    <w:tmpl w:val="AF76E458"/>
    <w:lvl w:ilvl="0" w:tplc="F1947144">
      <w:start w:val="3"/>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081C3C"/>
    <w:multiLevelType w:val="hybridMultilevel"/>
    <w:tmpl w:val="9F3C6A42"/>
    <w:lvl w:ilvl="0" w:tplc="B4362734">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19118A"/>
    <w:multiLevelType w:val="hybridMultilevel"/>
    <w:tmpl w:val="BEEA9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457A57"/>
    <w:multiLevelType w:val="multilevel"/>
    <w:tmpl w:val="372AA77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2"/>
      <w:numFmt w:val="decimal"/>
      <w:isLgl/>
      <w:lvlText w:val="%1.%2"/>
      <w:lvlJc w:val="left"/>
      <w:pPr>
        <w:tabs>
          <w:tab w:val="num" w:pos="735"/>
        </w:tabs>
        <w:ind w:left="735" w:hanging="37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5D9F6F08"/>
    <w:multiLevelType w:val="hybridMultilevel"/>
    <w:tmpl w:val="9D38FA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0032B33"/>
    <w:multiLevelType w:val="hybridMultilevel"/>
    <w:tmpl w:val="9B68769A"/>
    <w:lvl w:ilvl="0" w:tplc="04090001">
      <w:start w:val="1"/>
      <w:numFmt w:val="bullet"/>
      <w:lvlText w:val=""/>
      <w:lvlJc w:val="left"/>
      <w:pPr>
        <w:tabs>
          <w:tab w:val="num" w:pos="0"/>
        </w:tabs>
        <w:ind w:left="720" w:hanging="360"/>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C128B8"/>
    <w:multiLevelType w:val="hybridMultilevel"/>
    <w:tmpl w:val="BA1AE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B6048"/>
    <w:multiLevelType w:val="hybridMultilevel"/>
    <w:tmpl w:val="5658F680"/>
    <w:lvl w:ilvl="0" w:tplc="9BA8292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FE70DB"/>
    <w:multiLevelType w:val="hybridMultilevel"/>
    <w:tmpl w:val="90FCBF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1551BF0"/>
    <w:multiLevelType w:val="hybridMultilevel"/>
    <w:tmpl w:val="64207AF6"/>
    <w:lvl w:ilvl="0" w:tplc="04090001">
      <w:start w:val="1"/>
      <w:numFmt w:val="bullet"/>
      <w:lvlText w:val=""/>
      <w:lvlJc w:val="left"/>
      <w:pPr>
        <w:tabs>
          <w:tab w:val="num" w:pos="720"/>
        </w:tabs>
        <w:ind w:left="720" w:hanging="360"/>
      </w:pPr>
      <w:rPr>
        <w:rFonts w:ascii="Symbol" w:hAnsi="Symbol" w:hint="default"/>
        <w:b w:val="0"/>
        <w:i w:val="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D97697"/>
    <w:multiLevelType w:val="hybridMultilevel"/>
    <w:tmpl w:val="AD3C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1"/>
  </w:num>
  <w:num w:numId="4">
    <w:abstractNumId w:val="13"/>
  </w:num>
  <w:num w:numId="5">
    <w:abstractNumId w:val="25"/>
  </w:num>
  <w:num w:numId="6">
    <w:abstractNumId w:val="22"/>
  </w:num>
  <w:num w:numId="7">
    <w:abstractNumId w:val="9"/>
  </w:num>
  <w:num w:numId="8">
    <w:abstractNumId w:val="12"/>
  </w:num>
  <w:num w:numId="9">
    <w:abstractNumId w:val="20"/>
  </w:num>
  <w:num w:numId="10">
    <w:abstractNumId w:val="19"/>
  </w:num>
  <w:num w:numId="11">
    <w:abstractNumId w:val="0"/>
  </w:num>
  <w:num w:numId="12">
    <w:abstractNumId w:val="21"/>
  </w:num>
  <w:num w:numId="13">
    <w:abstractNumId w:val="2"/>
  </w:num>
  <w:num w:numId="14">
    <w:abstractNumId w:val="14"/>
  </w:num>
  <w:num w:numId="15">
    <w:abstractNumId w:val="6"/>
  </w:num>
  <w:num w:numId="16">
    <w:abstractNumId w:val="5"/>
  </w:num>
  <w:num w:numId="17">
    <w:abstractNumId w:val="10"/>
  </w:num>
  <w:num w:numId="18">
    <w:abstractNumId w:val="3"/>
  </w:num>
  <w:num w:numId="19">
    <w:abstractNumId w:val="18"/>
  </w:num>
  <w:num w:numId="20">
    <w:abstractNumId w:val="24"/>
  </w:num>
  <w:num w:numId="21">
    <w:abstractNumId w:val="7"/>
  </w:num>
  <w:num w:numId="22">
    <w:abstractNumId w:val="23"/>
  </w:num>
  <w:num w:numId="23">
    <w:abstractNumId w:val="4"/>
  </w:num>
  <w:num w:numId="24">
    <w:abstractNumId w:val="16"/>
  </w:num>
  <w:num w:numId="25">
    <w:abstractNumId w:val="8"/>
  </w:num>
  <w:num w:numId="26">
    <w:abstractNumId w:val="26"/>
  </w:num>
  <w:num w:numId="27">
    <w:abstractNumId w:val="15"/>
  </w:num>
  <w:num w:numId="28">
    <w:abstractNumId w:val="25"/>
  </w:num>
  <w:num w:numId="2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609"/>
    <w:rsid w:val="000016DB"/>
    <w:rsid w:val="000041A4"/>
    <w:rsid w:val="00005902"/>
    <w:rsid w:val="00007B18"/>
    <w:rsid w:val="0001002B"/>
    <w:rsid w:val="00010806"/>
    <w:rsid w:val="00013F71"/>
    <w:rsid w:val="00015FCD"/>
    <w:rsid w:val="000173BF"/>
    <w:rsid w:val="00022C8B"/>
    <w:rsid w:val="00024252"/>
    <w:rsid w:val="000245B5"/>
    <w:rsid w:val="00025F2F"/>
    <w:rsid w:val="00027183"/>
    <w:rsid w:val="00033EA1"/>
    <w:rsid w:val="0003746D"/>
    <w:rsid w:val="0004020F"/>
    <w:rsid w:val="000415D9"/>
    <w:rsid w:val="000436CB"/>
    <w:rsid w:val="00052E17"/>
    <w:rsid w:val="00053F22"/>
    <w:rsid w:val="00056947"/>
    <w:rsid w:val="00057D0A"/>
    <w:rsid w:val="00060200"/>
    <w:rsid w:val="00061A8E"/>
    <w:rsid w:val="000620B2"/>
    <w:rsid w:val="00064CB3"/>
    <w:rsid w:val="0006670A"/>
    <w:rsid w:val="00070BEE"/>
    <w:rsid w:val="00072040"/>
    <w:rsid w:val="000725CA"/>
    <w:rsid w:val="00076DF4"/>
    <w:rsid w:val="00076F51"/>
    <w:rsid w:val="0008524C"/>
    <w:rsid w:val="00086F7F"/>
    <w:rsid w:val="0009074D"/>
    <w:rsid w:val="0009592B"/>
    <w:rsid w:val="000968C6"/>
    <w:rsid w:val="000A63C9"/>
    <w:rsid w:val="000A7480"/>
    <w:rsid w:val="000B3765"/>
    <w:rsid w:val="000B655B"/>
    <w:rsid w:val="000B6CBE"/>
    <w:rsid w:val="000C0000"/>
    <w:rsid w:val="000C18CC"/>
    <w:rsid w:val="000C4937"/>
    <w:rsid w:val="000C687D"/>
    <w:rsid w:val="000C7BEC"/>
    <w:rsid w:val="000C7ED1"/>
    <w:rsid w:val="000D4E20"/>
    <w:rsid w:val="000D789A"/>
    <w:rsid w:val="000E4B5F"/>
    <w:rsid w:val="000E706D"/>
    <w:rsid w:val="000F130A"/>
    <w:rsid w:val="000F4FD8"/>
    <w:rsid w:val="000F6D73"/>
    <w:rsid w:val="00104443"/>
    <w:rsid w:val="00104A71"/>
    <w:rsid w:val="00107242"/>
    <w:rsid w:val="00111CC5"/>
    <w:rsid w:val="001206F7"/>
    <w:rsid w:val="00122898"/>
    <w:rsid w:val="001236C1"/>
    <w:rsid w:val="001277B5"/>
    <w:rsid w:val="00133EE8"/>
    <w:rsid w:val="001362B9"/>
    <w:rsid w:val="00140B30"/>
    <w:rsid w:val="00147155"/>
    <w:rsid w:val="00153CB3"/>
    <w:rsid w:val="00154C3B"/>
    <w:rsid w:val="00160158"/>
    <w:rsid w:val="00165357"/>
    <w:rsid w:val="0016697E"/>
    <w:rsid w:val="00166C99"/>
    <w:rsid w:val="00170C01"/>
    <w:rsid w:val="001722B7"/>
    <w:rsid w:val="001727D9"/>
    <w:rsid w:val="00174BB4"/>
    <w:rsid w:val="00175D14"/>
    <w:rsid w:val="001811EE"/>
    <w:rsid w:val="00181947"/>
    <w:rsid w:val="00185AD4"/>
    <w:rsid w:val="00194E52"/>
    <w:rsid w:val="001979AF"/>
    <w:rsid w:val="001A0EB4"/>
    <w:rsid w:val="001A127E"/>
    <w:rsid w:val="001A1A86"/>
    <w:rsid w:val="001A5F62"/>
    <w:rsid w:val="001B015E"/>
    <w:rsid w:val="001B09F9"/>
    <w:rsid w:val="001B2301"/>
    <w:rsid w:val="001B618B"/>
    <w:rsid w:val="001C1338"/>
    <w:rsid w:val="001C4140"/>
    <w:rsid w:val="001C5A94"/>
    <w:rsid w:val="001C5B3C"/>
    <w:rsid w:val="001C6083"/>
    <w:rsid w:val="001D2317"/>
    <w:rsid w:val="001D3223"/>
    <w:rsid w:val="001D33EF"/>
    <w:rsid w:val="001D5AB3"/>
    <w:rsid w:val="001D6229"/>
    <w:rsid w:val="001E0519"/>
    <w:rsid w:val="001E0829"/>
    <w:rsid w:val="001E1320"/>
    <w:rsid w:val="001E556A"/>
    <w:rsid w:val="001E72CC"/>
    <w:rsid w:val="001F03C3"/>
    <w:rsid w:val="001F05CE"/>
    <w:rsid w:val="001F1905"/>
    <w:rsid w:val="001F4A65"/>
    <w:rsid w:val="001F535E"/>
    <w:rsid w:val="00205C45"/>
    <w:rsid w:val="00207E06"/>
    <w:rsid w:val="0021035B"/>
    <w:rsid w:val="00211153"/>
    <w:rsid w:val="00213F2A"/>
    <w:rsid w:val="00216DBD"/>
    <w:rsid w:val="00221176"/>
    <w:rsid w:val="0023254A"/>
    <w:rsid w:val="00233721"/>
    <w:rsid w:val="002344FB"/>
    <w:rsid w:val="00236216"/>
    <w:rsid w:val="00237A33"/>
    <w:rsid w:val="002405CD"/>
    <w:rsid w:val="00240B74"/>
    <w:rsid w:val="00243B62"/>
    <w:rsid w:val="0024675B"/>
    <w:rsid w:val="002469DD"/>
    <w:rsid w:val="00247180"/>
    <w:rsid w:val="002524AC"/>
    <w:rsid w:val="00252D32"/>
    <w:rsid w:val="00254671"/>
    <w:rsid w:val="00257D36"/>
    <w:rsid w:val="002636E3"/>
    <w:rsid w:val="00263C1C"/>
    <w:rsid w:val="0026407D"/>
    <w:rsid w:val="00271415"/>
    <w:rsid w:val="00271C2D"/>
    <w:rsid w:val="00274FBE"/>
    <w:rsid w:val="002762E1"/>
    <w:rsid w:val="002811BC"/>
    <w:rsid w:val="00283DE8"/>
    <w:rsid w:val="00285552"/>
    <w:rsid w:val="00285966"/>
    <w:rsid w:val="00285A0D"/>
    <w:rsid w:val="002907A9"/>
    <w:rsid w:val="00290ED8"/>
    <w:rsid w:val="00296B49"/>
    <w:rsid w:val="002A03FC"/>
    <w:rsid w:val="002A1843"/>
    <w:rsid w:val="002A3D26"/>
    <w:rsid w:val="002A42B2"/>
    <w:rsid w:val="002A4566"/>
    <w:rsid w:val="002A523E"/>
    <w:rsid w:val="002A6548"/>
    <w:rsid w:val="002A6BD8"/>
    <w:rsid w:val="002B02EF"/>
    <w:rsid w:val="002B1ADF"/>
    <w:rsid w:val="002B502E"/>
    <w:rsid w:val="002B657B"/>
    <w:rsid w:val="002C0134"/>
    <w:rsid w:val="002C01DC"/>
    <w:rsid w:val="002C2853"/>
    <w:rsid w:val="002C444C"/>
    <w:rsid w:val="002C458F"/>
    <w:rsid w:val="002C6C20"/>
    <w:rsid w:val="002C6C7A"/>
    <w:rsid w:val="002C7F78"/>
    <w:rsid w:val="002D5277"/>
    <w:rsid w:val="002D5E64"/>
    <w:rsid w:val="002D71FA"/>
    <w:rsid w:val="002D73AF"/>
    <w:rsid w:val="002E025B"/>
    <w:rsid w:val="002E186F"/>
    <w:rsid w:val="002E3642"/>
    <w:rsid w:val="002E4FD9"/>
    <w:rsid w:val="002E5B58"/>
    <w:rsid w:val="002F1437"/>
    <w:rsid w:val="002F1CB5"/>
    <w:rsid w:val="002F3943"/>
    <w:rsid w:val="002F4E34"/>
    <w:rsid w:val="002F6A42"/>
    <w:rsid w:val="002F79E7"/>
    <w:rsid w:val="003003EC"/>
    <w:rsid w:val="003035E3"/>
    <w:rsid w:val="0030363A"/>
    <w:rsid w:val="00313E74"/>
    <w:rsid w:val="0031701E"/>
    <w:rsid w:val="00317970"/>
    <w:rsid w:val="00317EB0"/>
    <w:rsid w:val="00324D3A"/>
    <w:rsid w:val="00332700"/>
    <w:rsid w:val="003358BD"/>
    <w:rsid w:val="00344E88"/>
    <w:rsid w:val="0034548F"/>
    <w:rsid w:val="00345D80"/>
    <w:rsid w:val="00346994"/>
    <w:rsid w:val="003471D4"/>
    <w:rsid w:val="00350020"/>
    <w:rsid w:val="00350BF1"/>
    <w:rsid w:val="00353C49"/>
    <w:rsid w:val="003540B1"/>
    <w:rsid w:val="00354441"/>
    <w:rsid w:val="003557E9"/>
    <w:rsid w:val="003560BA"/>
    <w:rsid w:val="00356417"/>
    <w:rsid w:val="00363D68"/>
    <w:rsid w:val="00364CC6"/>
    <w:rsid w:val="003650F6"/>
    <w:rsid w:val="00365183"/>
    <w:rsid w:val="0036726C"/>
    <w:rsid w:val="003710AF"/>
    <w:rsid w:val="00372667"/>
    <w:rsid w:val="003832D2"/>
    <w:rsid w:val="003845E5"/>
    <w:rsid w:val="00391BA6"/>
    <w:rsid w:val="00393137"/>
    <w:rsid w:val="0039615F"/>
    <w:rsid w:val="00397406"/>
    <w:rsid w:val="003A0591"/>
    <w:rsid w:val="003A204C"/>
    <w:rsid w:val="003A3170"/>
    <w:rsid w:val="003A360E"/>
    <w:rsid w:val="003B2B90"/>
    <w:rsid w:val="003B50BD"/>
    <w:rsid w:val="003C2FF1"/>
    <w:rsid w:val="003D0308"/>
    <w:rsid w:val="003D17FF"/>
    <w:rsid w:val="003D2871"/>
    <w:rsid w:val="003D2981"/>
    <w:rsid w:val="003D5B83"/>
    <w:rsid w:val="003E0801"/>
    <w:rsid w:val="003E1006"/>
    <w:rsid w:val="003E6E47"/>
    <w:rsid w:val="003F0623"/>
    <w:rsid w:val="003F0C92"/>
    <w:rsid w:val="003F2082"/>
    <w:rsid w:val="003F24FB"/>
    <w:rsid w:val="003F33DE"/>
    <w:rsid w:val="003F3A41"/>
    <w:rsid w:val="003F45B4"/>
    <w:rsid w:val="003F67E9"/>
    <w:rsid w:val="003F7E49"/>
    <w:rsid w:val="004007CD"/>
    <w:rsid w:val="00401031"/>
    <w:rsid w:val="004023B7"/>
    <w:rsid w:val="004045A0"/>
    <w:rsid w:val="00404BA2"/>
    <w:rsid w:val="004054D7"/>
    <w:rsid w:val="0041281F"/>
    <w:rsid w:val="00413CDB"/>
    <w:rsid w:val="00416E34"/>
    <w:rsid w:val="004200FE"/>
    <w:rsid w:val="00421183"/>
    <w:rsid w:val="00421BA6"/>
    <w:rsid w:val="00421C17"/>
    <w:rsid w:val="00425B03"/>
    <w:rsid w:val="00426CDE"/>
    <w:rsid w:val="00433EA1"/>
    <w:rsid w:val="00437A33"/>
    <w:rsid w:val="0044080D"/>
    <w:rsid w:val="00441536"/>
    <w:rsid w:val="00441957"/>
    <w:rsid w:val="00443D32"/>
    <w:rsid w:val="004469DD"/>
    <w:rsid w:val="004476B2"/>
    <w:rsid w:val="00447CE5"/>
    <w:rsid w:val="00447D6E"/>
    <w:rsid w:val="0045048F"/>
    <w:rsid w:val="0045181B"/>
    <w:rsid w:val="00452133"/>
    <w:rsid w:val="00452C7A"/>
    <w:rsid w:val="00456B53"/>
    <w:rsid w:val="00461636"/>
    <w:rsid w:val="0046286E"/>
    <w:rsid w:val="004673A2"/>
    <w:rsid w:val="00471042"/>
    <w:rsid w:val="00471234"/>
    <w:rsid w:val="00472250"/>
    <w:rsid w:val="0047437C"/>
    <w:rsid w:val="004747E6"/>
    <w:rsid w:val="004760FF"/>
    <w:rsid w:val="00477522"/>
    <w:rsid w:val="00480E7B"/>
    <w:rsid w:val="004843E5"/>
    <w:rsid w:val="00484BF6"/>
    <w:rsid w:val="0049052C"/>
    <w:rsid w:val="00493457"/>
    <w:rsid w:val="00494628"/>
    <w:rsid w:val="00494926"/>
    <w:rsid w:val="0049566B"/>
    <w:rsid w:val="00497338"/>
    <w:rsid w:val="00497CC3"/>
    <w:rsid w:val="00497FD2"/>
    <w:rsid w:val="004A1650"/>
    <w:rsid w:val="004A69C9"/>
    <w:rsid w:val="004B08E4"/>
    <w:rsid w:val="004B1184"/>
    <w:rsid w:val="004B4A3A"/>
    <w:rsid w:val="004B5CE5"/>
    <w:rsid w:val="004B68B2"/>
    <w:rsid w:val="004B750E"/>
    <w:rsid w:val="004B7F5F"/>
    <w:rsid w:val="004C2244"/>
    <w:rsid w:val="004C23F1"/>
    <w:rsid w:val="004D069A"/>
    <w:rsid w:val="004D2F8B"/>
    <w:rsid w:val="004E0178"/>
    <w:rsid w:val="004E01F5"/>
    <w:rsid w:val="004E297E"/>
    <w:rsid w:val="004E4779"/>
    <w:rsid w:val="004E75C6"/>
    <w:rsid w:val="004E76CA"/>
    <w:rsid w:val="004F1698"/>
    <w:rsid w:val="004F6B06"/>
    <w:rsid w:val="004F7FB8"/>
    <w:rsid w:val="00500C4E"/>
    <w:rsid w:val="00505CEC"/>
    <w:rsid w:val="00507091"/>
    <w:rsid w:val="0051020F"/>
    <w:rsid w:val="00510DE6"/>
    <w:rsid w:val="00513CAB"/>
    <w:rsid w:val="00516CF5"/>
    <w:rsid w:val="0051704E"/>
    <w:rsid w:val="00523597"/>
    <w:rsid w:val="00523736"/>
    <w:rsid w:val="0053140A"/>
    <w:rsid w:val="00532530"/>
    <w:rsid w:val="00535071"/>
    <w:rsid w:val="00535CA4"/>
    <w:rsid w:val="0054156B"/>
    <w:rsid w:val="005476F6"/>
    <w:rsid w:val="00551D72"/>
    <w:rsid w:val="005538F6"/>
    <w:rsid w:val="005540B6"/>
    <w:rsid w:val="005552C3"/>
    <w:rsid w:val="005554E2"/>
    <w:rsid w:val="00560934"/>
    <w:rsid w:val="00562017"/>
    <w:rsid w:val="00563E58"/>
    <w:rsid w:val="00564960"/>
    <w:rsid w:val="00570654"/>
    <w:rsid w:val="00570F38"/>
    <w:rsid w:val="005720F2"/>
    <w:rsid w:val="005729C8"/>
    <w:rsid w:val="00572D2F"/>
    <w:rsid w:val="005734A4"/>
    <w:rsid w:val="005753D9"/>
    <w:rsid w:val="00585FCA"/>
    <w:rsid w:val="00591BE3"/>
    <w:rsid w:val="0059202C"/>
    <w:rsid w:val="00594EF5"/>
    <w:rsid w:val="005A0E53"/>
    <w:rsid w:val="005A1078"/>
    <w:rsid w:val="005A25B6"/>
    <w:rsid w:val="005A4658"/>
    <w:rsid w:val="005A496B"/>
    <w:rsid w:val="005A66E6"/>
    <w:rsid w:val="005B28C1"/>
    <w:rsid w:val="005B3803"/>
    <w:rsid w:val="005B4814"/>
    <w:rsid w:val="005B6344"/>
    <w:rsid w:val="005C1C74"/>
    <w:rsid w:val="005C2E48"/>
    <w:rsid w:val="005C3F23"/>
    <w:rsid w:val="005C5B39"/>
    <w:rsid w:val="005D4C22"/>
    <w:rsid w:val="005D4DD7"/>
    <w:rsid w:val="005E12A9"/>
    <w:rsid w:val="005E717C"/>
    <w:rsid w:val="005F139E"/>
    <w:rsid w:val="005F69D5"/>
    <w:rsid w:val="00602799"/>
    <w:rsid w:val="00602F18"/>
    <w:rsid w:val="00607C30"/>
    <w:rsid w:val="006110F3"/>
    <w:rsid w:val="00612041"/>
    <w:rsid w:val="00614835"/>
    <w:rsid w:val="00614AFF"/>
    <w:rsid w:val="00620971"/>
    <w:rsid w:val="00621ABA"/>
    <w:rsid w:val="0062322A"/>
    <w:rsid w:val="00631157"/>
    <w:rsid w:val="00635411"/>
    <w:rsid w:val="006404E6"/>
    <w:rsid w:val="00645154"/>
    <w:rsid w:val="0064680F"/>
    <w:rsid w:val="0064729D"/>
    <w:rsid w:val="00647ABE"/>
    <w:rsid w:val="006516BA"/>
    <w:rsid w:val="006567E2"/>
    <w:rsid w:val="00660AC8"/>
    <w:rsid w:val="0066226F"/>
    <w:rsid w:val="00664B05"/>
    <w:rsid w:val="00665C04"/>
    <w:rsid w:val="0066682D"/>
    <w:rsid w:val="00666864"/>
    <w:rsid w:val="00670D65"/>
    <w:rsid w:val="006746FE"/>
    <w:rsid w:val="00676E2B"/>
    <w:rsid w:val="00676E9F"/>
    <w:rsid w:val="00680934"/>
    <w:rsid w:val="0068296D"/>
    <w:rsid w:val="00685D5C"/>
    <w:rsid w:val="00687BEB"/>
    <w:rsid w:val="00691E69"/>
    <w:rsid w:val="0069264D"/>
    <w:rsid w:val="0069578B"/>
    <w:rsid w:val="00697868"/>
    <w:rsid w:val="006A055F"/>
    <w:rsid w:val="006A126F"/>
    <w:rsid w:val="006A14E9"/>
    <w:rsid w:val="006A2A65"/>
    <w:rsid w:val="006A5293"/>
    <w:rsid w:val="006A67E4"/>
    <w:rsid w:val="006A6D15"/>
    <w:rsid w:val="006B040A"/>
    <w:rsid w:val="006B0DF3"/>
    <w:rsid w:val="006B0F11"/>
    <w:rsid w:val="006B27FA"/>
    <w:rsid w:val="006B363A"/>
    <w:rsid w:val="006B4A48"/>
    <w:rsid w:val="006B765C"/>
    <w:rsid w:val="006B7CE9"/>
    <w:rsid w:val="006C2C55"/>
    <w:rsid w:val="006C430A"/>
    <w:rsid w:val="006D0DD8"/>
    <w:rsid w:val="006D1143"/>
    <w:rsid w:val="006D1666"/>
    <w:rsid w:val="006D2809"/>
    <w:rsid w:val="006E02A3"/>
    <w:rsid w:val="006E053A"/>
    <w:rsid w:val="006E0C80"/>
    <w:rsid w:val="006E27A3"/>
    <w:rsid w:val="006E3342"/>
    <w:rsid w:val="006E3B56"/>
    <w:rsid w:val="006E4B12"/>
    <w:rsid w:val="006E65D0"/>
    <w:rsid w:val="006F1B21"/>
    <w:rsid w:val="006F21E8"/>
    <w:rsid w:val="006F78D5"/>
    <w:rsid w:val="0070091B"/>
    <w:rsid w:val="007031FD"/>
    <w:rsid w:val="007033FE"/>
    <w:rsid w:val="007048AC"/>
    <w:rsid w:val="00707788"/>
    <w:rsid w:val="007116DD"/>
    <w:rsid w:val="00723557"/>
    <w:rsid w:val="00724759"/>
    <w:rsid w:val="00726338"/>
    <w:rsid w:val="00726AD5"/>
    <w:rsid w:val="00731BD9"/>
    <w:rsid w:val="00733C7D"/>
    <w:rsid w:val="007343A9"/>
    <w:rsid w:val="00740761"/>
    <w:rsid w:val="00745F77"/>
    <w:rsid w:val="007464DE"/>
    <w:rsid w:val="007529EA"/>
    <w:rsid w:val="00755A45"/>
    <w:rsid w:val="007570E3"/>
    <w:rsid w:val="00760CDC"/>
    <w:rsid w:val="00764D0D"/>
    <w:rsid w:val="0076533D"/>
    <w:rsid w:val="00777C53"/>
    <w:rsid w:val="00777E63"/>
    <w:rsid w:val="00783A21"/>
    <w:rsid w:val="00786E92"/>
    <w:rsid w:val="00787951"/>
    <w:rsid w:val="007933F1"/>
    <w:rsid w:val="007A5E23"/>
    <w:rsid w:val="007A5F52"/>
    <w:rsid w:val="007A7F89"/>
    <w:rsid w:val="007B090A"/>
    <w:rsid w:val="007B59C1"/>
    <w:rsid w:val="007C30F4"/>
    <w:rsid w:val="007C426A"/>
    <w:rsid w:val="007C5206"/>
    <w:rsid w:val="007C5999"/>
    <w:rsid w:val="007D1A24"/>
    <w:rsid w:val="007D316A"/>
    <w:rsid w:val="007D4CCB"/>
    <w:rsid w:val="007E1399"/>
    <w:rsid w:val="007E43F8"/>
    <w:rsid w:val="007E5076"/>
    <w:rsid w:val="007E52D9"/>
    <w:rsid w:val="007E656B"/>
    <w:rsid w:val="007E6C80"/>
    <w:rsid w:val="007F20D2"/>
    <w:rsid w:val="007F2997"/>
    <w:rsid w:val="007F50E8"/>
    <w:rsid w:val="007F54E2"/>
    <w:rsid w:val="007F7FBA"/>
    <w:rsid w:val="00800319"/>
    <w:rsid w:val="0080044E"/>
    <w:rsid w:val="00800706"/>
    <w:rsid w:val="00800D33"/>
    <w:rsid w:val="0080189A"/>
    <w:rsid w:val="00801F7F"/>
    <w:rsid w:val="0080344B"/>
    <w:rsid w:val="00803C2B"/>
    <w:rsid w:val="00806048"/>
    <w:rsid w:val="00811945"/>
    <w:rsid w:val="0081586F"/>
    <w:rsid w:val="00815DC1"/>
    <w:rsid w:val="00824F1C"/>
    <w:rsid w:val="00825C8C"/>
    <w:rsid w:val="00826688"/>
    <w:rsid w:val="008324EB"/>
    <w:rsid w:val="0083369B"/>
    <w:rsid w:val="00835674"/>
    <w:rsid w:val="00835D38"/>
    <w:rsid w:val="00837964"/>
    <w:rsid w:val="008423B2"/>
    <w:rsid w:val="00843763"/>
    <w:rsid w:val="00847A4E"/>
    <w:rsid w:val="00860AA7"/>
    <w:rsid w:val="0086319A"/>
    <w:rsid w:val="00871D79"/>
    <w:rsid w:val="0087393E"/>
    <w:rsid w:val="00873C62"/>
    <w:rsid w:val="008766E3"/>
    <w:rsid w:val="00881A42"/>
    <w:rsid w:val="00882386"/>
    <w:rsid w:val="008826E8"/>
    <w:rsid w:val="0088361D"/>
    <w:rsid w:val="00885E0A"/>
    <w:rsid w:val="0088603B"/>
    <w:rsid w:val="008877AF"/>
    <w:rsid w:val="00893B9A"/>
    <w:rsid w:val="00893FC3"/>
    <w:rsid w:val="0089577B"/>
    <w:rsid w:val="008B1024"/>
    <w:rsid w:val="008B1357"/>
    <w:rsid w:val="008B2DF3"/>
    <w:rsid w:val="008B6690"/>
    <w:rsid w:val="008B7DA8"/>
    <w:rsid w:val="008C041A"/>
    <w:rsid w:val="008C0B18"/>
    <w:rsid w:val="008C2258"/>
    <w:rsid w:val="008C2E0E"/>
    <w:rsid w:val="008C4DE0"/>
    <w:rsid w:val="008D3930"/>
    <w:rsid w:val="008D67F9"/>
    <w:rsid w:val="008E17CC"/>
    <w:rsid w:val="008E25B1"/>
    <w:rsid w:val="008E56FB"/>
    <w:rsid w:val="008F2167"/>
    <w:rsid w:val="008F2AA9"/>
    <w:rsid w:val="008F33B4"/>
    <w:rsid w:val="008F3C24"/>
    <w:rsid w:val="008F6298"/>
    <w:rsid w:val="008F765B"/>
    <w:rsid w:val="0090077A"/>
    <w:rsid w:val="00900F47"/>
    <w:rsid w:val="00904ADA"/>
    <w:rsid w:val="00907697"/>
    <w:rsid w:val="00910A69"/>
    <w:rsid w:val="009138A0"/>
    <w:rsid w:val="0091424C"/>
    <w:rsid w:val="00917A0A"/>
    <w:rsid w:val="00917DE4"/>
    <w:rsid w:val="00920905"/>
    <w:rsid w:val="009222DB"/>
    <w:rsid w:val="00922B85"/>
    <w:rsid w:val="00930CDC"/>
    <w:rsid w:val="00931E45"/>
    <w:rsid w:val="00933188"/>
    <w:rsid w:val="00934351"/>
    <w:rsid w:val="00935AF9"/>
    <w:rsid w:val="009403A5"/>
    <w:rsid w:val="009500DC"/>
    <w:rsid w:val="00951923"/>
    <w:rsid w:val="009539B8"/>
    <w:rsid w:val="00954040"/>
    <w:rsid w:val="00955599"/>
    <w:rsid w:val="00956B0B"/>
    <w:rsid w:val="00972C81"/>
    <w:rsid w:val="00973A93"/>
    <w:rsid w:val="00976903"/>
    <w:rsid w:val="009824E9"/>
    <w:rsid w:val="009826E5"/>
    <w:rsid w:val="009844A1"/>
    <w:rsid w:val="00986E20"/>
    <w:rsid w:val="00994E61"/>
    <w:rsid w:val="00995479"/>
    <w:rsid w:val="00995CB0"/>
    <w:rsid w:val="00996913"/>
    <w:rsid w:val="00997E77"/>
    <w:rsid w:val="009A2734"/>
    <w:rsid w:val="009B253D"/>
    <w:rsid w:val="009B2A02"/>
    <w:rsid w:val="009B2B61"/>
    <w:rsid w:val="009B3887"/>
    <w:rsid w:val="009B5B7B"/>
    <w:rsid w:val="009C1777"/>
    <w:rsid w:val="009C2C86"/>
    <w:rsid w:val="009C68E8"/>
    <w:rsid w:val="009C6FE0"/>
    <w:rsid w:val="009D0753"/>
    <w:rsid w:val="009D10A4"/>
    <w:rsid w:val="009D5131"/>
    <w:rsid w:val="009D6F71"/>
    <w:rsid w:val="009E1802"/>
    <w:rsid w:val="009E1CDE"/>
    <w:rsid w:val="009E2B06"/>
    <w:rsid w:val="009E3829"/>
    <w:rsid w:val="009E51E2"/>
    <w:rsid w:val="009F7A61"/>
    <w:rsid w:val="00A06BE3"/>
    <w:rsid w:val="00A114FC"/>
    <w:rsid w:val="00A11800"/>
    <w:rsid w:val="00A11C16"/>
    <w:rsid w:val="00A1348D"/>
    <w:rsid w:val="00A1423E"/>
    <w:rsid w:val="00A1458E"/>
    <w:rsid w:val="00A17664"/>
    <w:rsid w:val="00A20FAF"/>
    <w:rsid w:val="00A219BD"/>
    <w:rsid w:val="00A24520"/>
    <w:rsid w:val="00A3164A"/>
    <w:rsid w:val="00A35FFF"/>
    <w:rsid w:val="00A37F42"/>
    <w:rsid w:val="00A4411F"/>
    <w:rsid w:val="00A4748B"/>
    <w:rsid w:val="00A500D6"/>
    <w:rsid w:val="00A523FF"/>
    <w:rsid w:val="00A54756"/>
    <w:rsid w:val="00A54C66"/>
    <w:rsid w:val="00A56100"/>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95000"/>
    <w:rsid w:val="00AA0A9C"/>
    <w:rsid w:val="00AA16C0"/>
    <w:rsid w:val="00AA2C7A"/>
    <w:rsid w:val="00AA2E7C"/>
    <w:rsid w:val="00AA3648"/>
    <w:rsid w:val="00AA4CDC"/>
    <w:rsid w:val="00AB21D4"/>
    <w:rsid w:val="00AB21F5"/>
    <w:rsid w:val="00AB3386"/>
    <w:rsid w:val="00AB36DB"/>
    <w:rsid w:val="00AC0B1D"/>
    <w:rsid w:val="00AC2F5B"/>
    <w:rsid w:val="00AC3DAD"/>
    <w:rsid w:val="00AC5309"/>
    <w:rsid w:val="00AC5B97"/>
    <w:rsid w:val="00AD49FB"/>
    <w:rsid w:val="00AD4DD0"/>
    <w:rsid w:val="00AE0A8D"/>
    <w:rsid w:val="00AE1A86"/>
    <w:rsid w:val="00AE1FAF"/>
    <w:rsid w:val="00AF38A4"/>
    <w:rsid w:val="00AF6342"/>
    <w:rsid w:val="00B03531"/>
    <w:rsid w:val="00B053FB"/>
    <w:rsid w:val="00B05647"/>
    <w:rsid w:val="00B07EE5"/>
    <w:rsid w:val="00B15A92"/>
    <w:rsid w:val="00B20D71"/>
    <w:rsid w:val="00B21CC5"/>
    <w:rsid w:val="00B21EC3"/>
    <w:rsid w:val="00B24CB8"/>
    <w:rsid w:val="00B2654C"/>
    <w:rsid w:val="00B26778"/>
    <w:rsid w:val="00B26B83"/>
    <w:rsid w:val="00B32479"/>
    <w:rsid w:val="00B33FE2"/>
    <w:rsid w:val="00B403ED"/>
    <w:rsid w:val="00B4065F"/>
    <w:rsid w:val="00B45091"/>
    <w:rsid w:val="00B45447"/>
    <w:rsid w:val="00B50D38"/>
    <w:rsid w:val="00B51473"/>
    <w:rsid w:val="00B52671"/>
    <w:rsid w:val="00B5395F"/>
    <w:rsid w:val="00B563FB"/>
    <w:rsid w:val="00B614F1"/>
    <w:rsid w:val="00B866B4"/>
    <w:rsid w:val="00B94226"/>
    <w:rsid w:val="00BA0A8C"/>
    <w:rsid w:val="00BA0CEB"/>
    <w:rsid w:val="00BA2383"/>
    <w:rsid w:val="00BA2E7E"/>
    <w:rsid w:val="00BA33EF"/>
    <w:rsid w:val="00BA590A"/>
    <w:rsid w:val="00BA5FE4"/>
    <w:rsid w:val="00BA6A86"/>
    <w:rsid w:val="00BB0B39"/>
    <w:rsid w:val="00BB0D9C"/>
    <w:rsid w:val="00BB23BD"/>
    <w:rsid w:val="00BB30D1"/>
    <w:rsid w:val="00BB39D8"/>
    <w:rsid w:val="00BB5F75"/>
    <w:rsid w:val="00BC0AF6"/>
    <w:rsid w:val="00BC25B1"/>
    <w:rsid w:val="00BC3A48"/>
    <w:rsid w:val="00BC42FC"/>
    <w:rsid w:val="00BC5EB7"/>
    <w:rsid w:val="00BC6524"/>
    <w:rsid w:val="00BC7C04"/>
    <w:rsid w:val="00BD3931"/>
    <w:rsid w:val="00BD476E"/>
    <w:rsid w:val="00BD5B88"/>
    <w:rsid w:val="00BD5F58"/>
    <w:rsid w:val="00BD602F"/>
    <w:rsid w:val="00BE0AEB"/>
    <w:rsid w:val="00BE5E71"/>
    <w:rsid w:val="00BE78AE"/>
    <w:rsid w:val="00BF14F1"/>
    <w:rsid w:val="00BF244D"/>
    <w:rsid w:val="00C018E0"/>
    <w:rsid w:val="00C046A1"/>
    <w:rsid w:val="00C04FFA"/>
    <w:rsid w:val="00C05856"/>
    <w:rsid w:val="00C05AAF"/>
    <w:rsid w:val="00C101C4"/>
    <w:rsid w:val="00C10672"/>
    <w:rsid w:val="00C118C7"/>
    <w:rsid w:val="00C1610D"/>
    <w:rsid w:val="00C20877"/>
    <w:rsid w:val="00C20E7B"/>
    <w:rsid w:val="00C21456"/>
    <w:rsid w:val="00C2184B"/>
    <w:rsid w:val="00C22154"/>
    <w:rsid w:val="00C24D03"/>
    <w:rsid w:val="00C25E61"/>
    <w:rsid w:val="00C31F11"/>
    <w:rsid w:val="00C35A1B"/>
    <w:rsid w:val="00C40C0D"/>
    <w:rsid w:val="00C413F3"/>
    <w:rsid w:val="00C43847"/>
    <w:rsid w:val="00C54EFF"/>
    <w:rsid w:val="00C55D03"/>
    <w:rsid w:val="00C60E96"/>
    <w:rsid w:val="00C63548"/>
    <w:rsid w:val="00C63F96"/>
    <w:rsid w:val="00C65450"/>
    <w:rsid w:val="00C65A2F"/>
    <w:rsid w:val="00C677AF"/>
    <w:rsid w:val="00C67E59"/>
    <w:rsid w:val="00C72B8B"/>
    <w:rsid w:val="00C72CB5"/>
    <w:rsid w:val="00C7320D"/>
    <w:rsid w:val="00C76D4F"/>
    <w:rsid w:val="00C805BC"/>
    <w:rsid w:val="00C924BF"/>
    <w:rsid w:val="00C959CA"/>
    <w:rsid w:val="00C95A3F"/>
    <w:rsid w:val="00C95D16"/>
    <w:rsid w:val="00CA2AB4"/>
    <w:rsid w:val="00CA3516"/>
    <w:rsid w:val="00CA7B94"/>
    <w:rsid w:val="00CB0100"/>
    <w:rsid w:val="00CB04D2"/>
    <w:rsid w:val="00CB0E11"/>
    <w:rsid w:val="00CB7059"/>
    <w:rsid w:val="00CC29C5"/>
    <w:rsid w:val="00CC3E60"/>
    <w:rsid w:val="00CD33C9"/>
    <w:rsid w:val="00CD4239"/>
    <w:rsid w:val="00CD5FE8"/>
    <w:rsid w:val="00CD7EFE"/>
    <w:rsid w:val="00CE0C66"/>
    <w:rsid w:val="00CE28CF"/>
    <w:rsid w:val="00CE4386"/>
    <w:rsid w:val="00CE4CDC"/>
    <w:rsid w:val="00CE5BEB"/>
    <w:rsid w:val="00CE69E9"/>
    <w:rsid w:val="00CE71F2"/>
    <w:rsid w:val="00CF184C"/>
    <w:rsid w:val="00CF2E1D"/>
    <w:rsid w:val="00CF3F65"/>
    <w:rsid w:val="00CF464D"/>
    <w:rsid w:val="00CF786D"/>
    <w:rsid w:val="00D04F25"/>
    <w:rsid w:val="00D15B25"/>
    <w:rsid w:val="00D17EF4"/>
    <w:rsid w:val="00D23770"/>
    <w:rsid w:val="00D25074"/>
    <w:rsid w:val="00D2623F"/>
    <w:rsid w:val="00D267D3"/>
    <w:rsid w:val="00D34517"/>
    <w:rsid w:val="00D35FA0"/>
    <w:rsid w:val="00D36798"/>
    <w:rsid w:val="00D37568"/>
    <w:rsid w:val="00D448BC"/>
    <w:rsid w:val="00D47E80"/>
    <w:rsid w:val="00D52701"/>
    <w:rsid w:val="00D60340"/>
    <w:rsid w:val="00D62D18"/>
    <w:rsid w:val="00D70563"/>
    <w:rsid w:val="00D70D89"/>
    <w:rsid w:val="00D71C8C"/>
    <w:rsid w:val="00D72051"/>
    <w:rsid w:val="00D7380B"/>
    <w:rsid w:val="00D75D77"/>
    <w:rsid w:val="00D7639E"/>
    <w:rsid w:val="00D835EF"/>
    <w:rsid w:val="00D85F09"/>
    <w:rsid w:val="00D8689E"/>
    <w:rsid w:val="00D86A9D"/>
    <w:rsid w:val="00D8754C"/>
    <w:rsid w:val="00DA0190"/>
    <w:rsid w:val="00DA089A"/>
    <w:rsid w:val="00DA11A0"/>
    <w:rsid w:val="00DA2822"/>
    <w:rsid w:val="00DA4D08"/>
    <w:rsid w:val="00DA690B"/>
    <w:rsid w:val="00DA7225"/>
    <w:rsid w:val="00DB21D0"/>
    <w:rsid w:val="00DB37D4"/>
    <w:rsid w:val="00DB44E9"/>
    <w:rsid w:val="00DB540B"/>
    <w:rsid w:val="00DC1966"/>
    <w:rsid w:val="00DC3259"/>
    <w:rsid w:val="00DC4BF6"/>
    <w:rsid w:val="00DC620B"/>
    <w:rsid w:val="00DD0523"/>
    <w:rsid w:val="00DD09C0"/>
    <w:rsid w:val="00DD5DE0"/>
    <w:rsid w:val="00DE5758"/>
    <w:rsid w:val="00DE5FCF"/>
    <w:rsid w:val="00DF0D19"/>
    <w:rsid w:val="00DF2EE9"/>
    <w:rsid w:val="00DF68BC"/>
    <w:rsid w:val="00DF6FD8"/>
    <w:rsid w:val="00E0084B"/>
    <w:rsid w:val="00E0313C"/>
    <w:rsid w:val="00E05A80"/>
    <w:rsid w:val="00E06A37"/>
    <w:rsid w:val="00E071A5"/>
    <w:rsid w:val="00E073AA"/>
    <w:rsid w:val="00E07752"/>
    <w:rsid w:val="00E10EE9"/>
    <w:rsid w:val="00E16609"/>
    <w:rsid w:val="00E16F08"/>
    <w:rsid w:val="00E233F3"/>
    <w:rsid w:val="00E26B34"/>
    <w:rsid w:val="00E273BE"/>
    <w:rsid w:val="00E314BA"/>
    <w:rsid w:val="00E325BE"/>
    <w:rsid w:val="00E326BA"/>
    <w:rsid w:val="00E34202"/>
    <w:rsid w:val="00E37F72"/>
    <w:rsid w:val="00E40BE5"/>
    <w:rsid w:val="00E40CF9"/>
    <w:rsid w:val="00E42A30"/>
    <w:rsid w:val="00E44387"/>
    <w:rsid w:val="00E5625D"/>
    <w:rsid w:val="00E648BB"/>
    <w:rsid w:val="00E67ACA"/>
    <w:rsid w:val="00E73D16"/>
    <w:rsid w:val="00E76B31"/>
    <w:rsid w:val="00E81F3E"/>
    <w:rsid w:val="00E8349C"/>
    <w:rsid w:val="00E844BB"/>
    <w:rsid w:val="00E84C48"/>
    <w:rsid w:val="00E859BD"/>
    <w:rsid w:val="00E86B70"/>
    <w:rsid w:val="00E87C8F"/>
    <w:rsid w:val="00E924C3"/>
    <w:rsid w:val="00E954EE"/>
    <w:rsid w:val="00E96759"/>
    <w:rsid w:val="00EA4437"/>
    <w:rsid w:val="00EA4D87"/>
    <w:rsid w:val="00EA703B"/>
    <w:rsid w:val="00EB34FC"/>
    <w:rsid w:val="00EB4FF3"/>
    <w:rsid w:val="00EB5675"/>
    <w:rsid w:val="00EB643F"/>
    <w:rsid w:val="00EB76E1"/>
    <w:rsid w:val="00EC0EFB"/>
    <w:rsid w:val="00EC1509"/>
    <w:rsid w:val="00EC2499"/>
    <w:rsid w:val="00ED1342"/>
    <w:rsid w:val="00ED2B11"/>
    <w:rsid w:val="00ED622E"/>
    <w:rsid w:val="00EE29DF"/>
    <w:rsid w:val="00EE4120"/>
    <w:rsid w:val="00EF2E8A"/>
    <w:rsid w:val="00EF4E6B"/>
    <w:rsid w:val="00EF5416"/>
    <w:rsid w:val="00F01948"/>
    <w:rsid w:val="00F05833"/>
    <w:rsid w:val="00F06CCF"/>
    <w:rsid w:val="00F1053D"/>
    <w:rsid w:val="00F110D5"/>
    <w:rsid w:val="00F11E63"/>
    <w:rsid w:val="00F12733"/>
    <w:rsid w:val="00F171E1"/>
    <w:rsid w:val="00F20DCF"/>
    <w:rsid w:val="00F2366E"/>
    <w:rsid w:val="00F25581"/>
    <w:rsid w:val="00F25B36"/>
    <w:rsid w:val="00F300A0"/>
    <w:rsid w:val="00F3052A"/>
    <w:rsid w:val="00F333F2"/>
    <w:rsid w:val="00F341E3"/>
    <w:rsid w:val="00F35D09"/>
    <w:rsid w:val="00F379E3"/>
    <w:rsid w:val="00F4304D"/>
    <w:rsid w:val="00F43CD5"/>
    <w:rsid w:val="00F44AC3"/>
    <w:rsid w:val="00F4534B"/>
    <w:rsid w:val="00F46612"/>
    <w:rsid w:val="00F46DFB"/>
    <w:rsid w:val="00F474EF"/>
    <w:rsid w:val="00F4752B"/>
    <w:rsid w:val="00F476E8"/>
    <w:rsid w:val="00F541AE"/>
    <w:rsid w:val="00F54C20"/>
    <w:rsid w:val="00F55930"/>
    <w:rsid w:val="00F56792"/>
    <w:rsid w:val="00F571A6"/>
    <w:rsid w:val="00F6018B"/>
    <w:rsid w:val="00F60265"/>
    <w:rsid w:val="00F60E32"/>
    <w:rsid w:val="00F610E1"/>
    <w:rsid w:val="00F61A5A"/>
    <w:rsid w:val="00F644FF"/>
    <w:rsid w:val="00F65ABA"/>
    <w:rsid w:val="00F65E15"/>
    <w:rsid w:val="00F7242E"/>
    <w:rsid w:val="00F74B33"/>
    <w:rsid w:val="00F810DD"/>
    <w:rsid w:val="00F9154F"/>
    <w:rsid w:val="00F93FF6"/>
    <w:rsid w:val="00F95E2F"/>
    <w:rsid w:val="00F96DEB"/>
    <w:rsid w:val="00FA1872"/>
    <w:rsid w:val="00FA4F34"/>
    <w:rsid w:val="00FB2590"/>
    <w:rsid w:val="00FB2656"/>
    <w:rsid w:val="00FB44A2"/>
    <w:rsid w:val="00FD5A8C"/>
    <w:rsid w:val="00FE1E2F"/>
    <w:rsid w:val="00FE286E"/>
    <w:rsid w:val="00FE3233"/>
    <w:rsid w:val="00FE44F5"/>
    <w:rsid w:val="00FE4C68"/>
    <w:rsid w:val="00FE5FAF"/>
    <w:rsid w:val="00FE6D74"/>
    <w:rsid w:val="00FF08B0"/>
    <w:rsid w:val="00FF4916"/>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F7372D"/>
  <w15:docId w15:val="{3E0035EF-624C-4A8C-AFA7-1F1F15B10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68296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WPText">
    <w:name w:val="WP Text"/>
    <w:link w:val="WPTextChar"/>
    <w:rsid w:val="00FF4916"/>
    <w:pPr>
      <w:spacing w:after="0" w:line="240" w:lineRule="auto"/>
    </w:pPr>
    <w:rPr>
      <w:rFonts w:ascii="Times New Roman" w:eastAsia="Times New Roman" w:hAnsi="Times New Roman" w:cs="Times New Roman"/>
      <w:sz w:val="24"/>
      <w:szCs w:val="24"/>
    </w:rPr>
  </w:style>
  <w:style w:type="character" w:customStyle="1" w:styleId="WPTextChar">
    <w:name w:val="WP Text Char"/>
    <w:link w:val="WPText"/>
    <w:rsid w:val="00FF4916"/>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68296D"/>
    <w:rPr>
      <w:rFonts w:asciiTheme="majorHAnsi" w:eastAsiaTheme="majorEastAsia" w:hAnsiTheme="majorHAnsi" w:cstheme="majorBidi"/>
      <w:i/>
      <w:iCs/>
      <w:color w:val="365F91" w:themeColor="accent1" w:themeShade="BF"/>
      <w:szCs w:val="24"/>
    </w:rPr>
  </w:style>
  <w:style w:type="table" w:customStyle="1" w:styleId="TableGrid11">
    <w:name w:val="Table Grid11"/>
    <w:basedOn w:val="TableNormal"/>
    <w:next w:val="TableGrid"/>
    <w:rsid w:val="0068296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8296D"/>
  </w:style>
  <w:style w:type="table" w:customStyle="1" w:styleId="TableContemporary2">
    <w:name w:val="Table Contemporary2"/>
    <w:basedOn w:val="TableNormal"/>
    <w:next w:val="TableContemporary"/>
    <w:rsid w:val="0068296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PageNumber">
    <w:name w:val="page number"/>
    <w:rsid w:val="0068296D"/>
    <w:rPr>
      <w:rFonts w:ascii="Arial" w:hAnsi="Arial"/>
      <w:sz w:val="20"/>
    </w:rPr>
  </w:style>
  <w:style w:type="paragraph" w:customStyle="1" w:styleId="Normal2">
    <w:name w:val="Normal2"/>
    <w:basedOn w:val="Normal"/>
    <w:next w:val="Normal"/>
    <w:link w:val="Normal2Char"/>
    <w:rsid w:val="0068296D"/>
    <w:pPr>
      <w:spacing w:line="280" w:lineRule="atLeast"/>
    </w:pPr>
    <w:rPr>
      <w:rFonts w:ascii="Times New Roman" w:hAnsi="Times New Roman"/>
      <w:sz w:val="24"/>
    </w:rPr>
  </w:style>
  <w:style w:type="character" w:customStyle="1" w:styleId="Normal2Char">
    <w:name w:val="Normal2 Char"/>
    <w:link w:val="Normal2"/>
    <w:rsid w:val="0068296D"/>
    <w:rPr>
      <w:rFonts w:ascii="Times New Roman" w:eastAsia="Times New Roman" w:hAnsi="Times New Roman" w:cs="Times New Roman"/>
      <w:sz w:val="24"/>
      <w:szCs w:val="24"/>
    </w:rPr>
  </w:style>
  <w:style w:type="paragraph" w:styleId="NormalWeb">
    <w:name w:val="Normal (Web)"/>
    <w:basedOn w:val="Normal"/>
    <w:rsid w:val="0068296D"/>
    <w:pPr>
      <w:spacing w:before="100" w:beforeAutospacing="1" w:after="100" w:afterAutospacing="1"/>
    </w:pPr>
    <w:rPr>
      <w:rFonts w:ascii="Times New Roman" w:hAnsi="Times New Roman"/>
      <w:sz w:val="24"/>
    </w:rPr>
  </w:style>
  <w:style w:type="paragraph" w:customStyle="1" w:styleId="CharChar1">
    <w:name w:val="Char Char1"/>
    <w:basedOn w:val="Normal"/>
    <w:rsid w:val="0068296D"/>
    <w:pPr>
      <w:spacing w:after="160" w:line="240" w:lineRule="exact"/>
    </w:pPr>
    <w:rPr>
      <w:rFonts w:ascii="Verdana" w:hAnsi="Verdana"/>
      <w:sz w:val="20"/>
      <w:szCs w:val="20"/>
    </w:rPr>
  </w:style>
  <w:style w:type="paragraph" w:customStyle="1" w:styleId="Caption1">
    <w:name w:val="Caption1"/>
    <w:autoRedefine/>
    <w:rsid w:val="0068296D"/>
    <w:pPr>
      <w:keepNext/>
      <w:spacing w:after="0" w:line="240" w:lineRule="auto"/>
      <w:ind w:right="-360"/>
      <w:jc w:val="center"/>
    </w:pPr>
    <w:rPr>
      <w:rFonts w:eastAsia="Times New Roman" w:cstheme="minorHAnsi"/>
      <w:b/>
      <w:bCs/>
      <w:sz w:val="20"/>
      <w:szCs w:val="20"/>
    </w:rPr>
  </w:style>
  <w:style w:type="paragraph" w:styleId="ListNumber5">
    <w:name w:val="List Number 5"/>
    <w:basedOn w:val="Normal"/>
    <w:rsid w:val="0068296D"/>
    <w:pPr>
      <w:numPr>
        <w:numId w:val="11"/>
      </w:numPr>
    </w:pPr>
    <w:rPr>
      <w:rFonts w:ascii="Times New Roman" w:hAnsi="Times New Roman"/>
      <w:sz w:val="24"/>
    </w:rPr>
  </w:style>
  <w:style w:type="paragraph" w:styleId="TOC1">
    <w:name w:val="toc 1"/>
    <w:basedOn w:val="Normal"/>
    <w:next w:val="Normal"/>
    <w:autoRedefine/>
    <w:semiHidden/>
    <w:rsid w:val="0068296D"/>
    <w:pPr>
      <w:tabs>
        <w:tab w:val="right" w:leader="dot" w:pos="9800"/>
      </w:tabs>
      <w:spacing w:before="60" w:after="60"/>
    </w:pPr>
    <w:rPr>
      <w:rFonts w:ascii="Times New Roman" w:hAnsi="Times New Roman"/>
      <w:sz w:val="24"/>
    </w:rPr>
  </w:style>
  <w:style w:type="paragraph" w:styleId="DocumentMap">
    <w:name w:val="Document Map"/>
    <w:basedOn w:val="Normal"/>
    <w:link w:val="DocumentMapChar"/>
    <w:semiHidden/>
    <w:rsid w:val="0068296D"/>
    <w:pPr>
      <w:shd w:val="clear" w:color="auto" w:fill="000080"/>
    </w:pPr>
    <w:rPr>
      <w:rFonts w:ascii="Tahoma" w:hAnsi="Tahoma" w:cs="Tahoma"/>
      <w:sz w:val="24"/>
    </w:rPr>
  </w:style>
  <w:style w:type="character" w:customStyle="1" w:styleId="DocumentMapChar">
    <w:name w:val="Document Map Char"/>
    <w:basedOn w:val="DefaultParagraphFont"/>
    <w:link w:val="DocumentMap"/>
    <w:semiHidden/>
    <w:rsid w:val="0068296D"/>
    <w:rPr>
      <w:rFonts w:ascii="Tahoma" w:eastAsia="Times New Roman" w:hAnsi="Tahoma" w:cs="Tahoma"/>
      <w:sz w:val="24"/>
      <w:szCs w:val="24"/>
      <w:shd w:val="clear" w:color="auto" w:fill="000080"/>
    </w:rPr>
  </w:style>
  <w:style w:type="paragraph" w:styleId="Revision">
    <w:name w:val="Revision"/>
    <w:hidden/>
    <w:uiPriority w:val="99"/>
    <w:semiHidden/>
    <w:rsid w:val="007033FE"/>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542148">
      <w:bodyDiv w:val="1"/>
      <w:marLeft w:val="0"/>
      <w:marRight w:val="0"/>
      <w:marTop w:val="0"/>
      <w:marBottom w:val="0"/>
      <w:divBdr>
        <w:top w:val="none" w:sz="0" w:space="0" w:color="auto"/>
        <w:left w:val="none" w:sz="0" w:space="0" w:color="auto"/>
        <w:bottom w:val="none" w:sz="0" w:space="0" w:color="auto"/>
        <w:right w:val="none" w:sz="0" w:space="0" w:color="auto"/>
      </w:divBdr>
    </w:div>
    <w:div w:id="326787257">
      <w:bodyDiv w:val="1"/>
      <w:marLeft w:val="0"/>
      <w:marRight w:val="0"/>
      <w:marTop w:val="0"/>
      <w:marBottom w:val="0"/>
      <w:divBdr>
        <w:top w:val="none" w:sz="0" w:space="0" w:color="auto"/>
        <w:left w:val="none" w:sz="0" w:space="0" w:color="auto"/>
        <w:bottom w:val="none" w:sz="0" w:space="0" w:color="auto"/>
        <w:right w:val="none" w:sz="0" w:space="0" w:color="auto"/>
      </w:divBdr>
    </w:div>
    <w:div w:id="356351794">
      <w:bodyDiv w:val="1"/>
      <w:marLeft w:val="0"/>
      <w:marRight w:val="0"/>
      <w:marTop w:val="0"/>
      <w:marBottom w:val="0"/>
      <w:divBdr>
        <w:top w:val="none" w:sz="0" w:space="0" w:color="auto"/>
        <w:left w:val="none" w:sz="0" w:space="0" w:color="auto"/>
        <w:bottom w:val="none" w:sz="0" w:space="0" w:color="auto"/>
        <w:right w:val="none" w:sz="0" w:space="0" w:color="auto"/>
      </w:divBdr>
    </w:div>
    <w:div w:id="390275163">
      <w:bodyDiv w:val="1"/>
      <w:marLeft w:val="0"/>
      <w:marRight w:val="0"/>
      <w:marTop w:val="0"/>
      <w:marBottom w:val="0"/>
      <w:divBdr>
        <w:top w:val="none" w:sz="0" w:space="0" w:color="auto"/>
        <w:left w:val="none" w:sz="0" w:space="0" w:color="auto"/>
        <w:bottom w:val="none" w:sz="0" w:space="0" w:color="auto"/>
        <w:right w:val="none" w:sz="0" w:space="0" w:color="auto"/>
      </w:divBdr>
    </w:div>
    <w:div w:id="681855808">
      <w:bodyDiv w:val="1"/>
      <w:marLeft w:val="0"/>
      <w:marRight w:val="0"/>
      <w:marTop w:val="0"/>
      <w:marBottom w:val="0"/>
      <w:divBdr>
        <w:top w:val="none" w:sz="0" w:space="0" w:color="auto"/>
        <w:left w:val="none" w:sz="0" w:space="0" w:color="auto"/>
        <w:bottom w:val="none" w:sz="0" w:space="0" w:color="auto"/>
        <w:right w:val="none" w:sz="0" w:space="0" w:color="auto"/>
      </w:divBdr>
    </w:div>
    <w:div w:id="739057597">
      <w:bodyDiv w:val="1"/>
      <w:marLeft w:val="0"/>
      <w:marRight w:val="0"/>
      <w:marTop w:val="0"/>
      <w:marBottom w:val="0"/>
      <w:divBdr>
        <w:top w:val="none" w:sz="0" w:space="0" w:color="auto"/>
        <w:left w:val="none" w:sz="0" w:space="0" w:color="auto"/>
        <w:bottom w:val="none" w:sz="0" w:space="0" w:color="auto"/>
        <w:right w:val="none" w:sz="0" w:space="0" w:color="auto"/>
      </w:divBdr>
    </w:div>
    <w:div w:id="76441796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81988184">
      <w:bodyDiv w:val="1"/>
      <w:marLeft w:val="0"/>
      <w:marRight w:val="0"/>
      <w:marTop w:val="0"/>
      <w:marBottom w:val="0"/>
      <w:divBdr>
        <w:top w:val="none" w:sz="0" w:space="0" w:color="auto"/>
        <w:left w:val="none" w:sz="0" w:space="0" w:color="auto"/>
        <w:bottom w:val="none" w:sz="0" w:space="0" w:color="auto"/>
        <w:right w:val="none" w:sz="0" w:space="0" w:color="auto"/>
      </w:divBdr>
    </w:div>
    <w:div w:id="959259170">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57701813">
      <w:bodyDiv w:val="1"/>
      <w:marLeft w:val="0"/>
      <w:marRight w:val="0"/>
      <w:marTop w:val="0"/>
      <w:marBottom w:val="0"/>
      <w:divBdr>
        <w:top w:val="none" w:sz="0" w:space="0" w:color="auto"/>
        <w:left w:val="none" w:sz="0" w:space="0" w:color="auto"/>
        <w:bottom w:val="none" w:sz="0" w:space="0" w:color="auto"/>
        <w:right w:val="none" w:sz="0" w:space="0" w:color="auto"/>
      </w:divBdr>
    </w:div>
    <w:div w:id="1107967670">
      <w:bodyDiv w:val="1"/>
      <w:marLeft w:val="0"/>
      <w:marRight w:val="0"/>
      <w:marTop w:val="0"/>
      <w:marBottom w:val="0"/>
      <w:divBdr>
        <w:top w:val="none" w:sz="0" w:space="0" w:color="auto"/>
        <w:left w:val="none" w:sz="0" w:space="0" w:color="auto"/>
        <w:bottom w:val="none" w:sz="0" w:space="0" w:color="auto"/>
        <w:right w:val="none" w:sz="0" w:space="0" w:color="auto"/>
      </w:divBdr>
    </w:div>
    <w:div w:id="1123690807">
      <w:bodyDiv w:val="1"/>
      <w:marLeft w:val="0"/>
      <w:marRight w:val="0"/>
      <w:marTop w:val="0"/>
      <w:marBottom w:val="0"/>
      <w:divBdr>
        <w:top w:val="none" w:sz="0" w:space="0" w:color="auto"/>
        <w:left w:val="none" w:sz="0" w:space="0" w:color="auto"/>
        <w:bottom w:val="none" w:sz="0" w:space="0" w:color="auto"/>
        <w:right w:val="none" w:sz="0" w:space="0" w:color="auto"/>
      </w:divBdr>
    </w:div>
    <w:div w:id="1173448656">
      <w:bodyDiv w:val="1"/>
      <w:marLeft w:val="0"/>
      <w:marRight w:val="0"/>
      <w:marTop w:val="0"/>
      <w:marBottom w:val="0"/>
      <w:divBdr>
        <w:top w:val="none" w:sz="0" w:space="0" w:color="auto"/>
        <w:left w:val="none" w:sz="0" w:space="0" w:color="auto"/>
        <w:bottom w:val="none" w:sz="0" w:space="0" w:color="auto"/>
        <w:right w:val="none" w:sz="0" w:space="0" w:color="auto"/>
      </w:divBdr>
    </w:div>
    <w:div w:id="1258640075">
      <w:bodyDiv w:val="1"/>
      <w:marLeft w:val="0"/>
      <w:marRight w:val="0"/>
      <w:marTop w:val="0"/>
      <w:marBottom w:val="0"/>
      <w:divBdr>
        <w:top w:val="none" w:sz="0" w:space="0" w:color="auto"/>
        <w:left w:val="none" w:sz="0" w:space="0" w:color="auto"/>
        <w:bottom w:val="none" w:sz="0" w:space="0" w:color="auto"/>
        <w:right w:val="none" w:sz="0" w:space="0" w:color="auto"/>
      </w:divBdr>
      <w:divsChild>
        <w:div w:id="17006525">
          <w:marLeft w:val="634"/>
          <w:marRight w:val="0"/>
          <w:marTop w:val="0"/>
          <w:marBottom w:val="0"/>
          <w:divBdr>
            <w:top w:val="none" w:sz="0" w:space="0" w:color="auto"/>
            <w:left w:val="none" w:sz="0" w:space="0" w:color="auto"/>
            <w:bottom w:val="none" w:sz="0" w:space="0" w:color="auto"/>
            <w:right w:val="none" w:sz="0" w:space="0" w:color="auto"/>
          </w:divBdr>
        </w:div>
        <w:div w:id="636884851">
          <w:marLeft w:val="634"/>
          <w:marRight w:val="0"/>
          <w:marTop w:val="0"/>
          <w:marBottom w:val="0"/>
          <w:divBdr>
            <w:top w:val="none" w:sz="0" w:space="0" w:color="auto"/>
            <w:left w:val="none" w:sz="0" w:space="0" w:color="auto"/>
            <w:bottom w:val="none" w:sz="0" w:space="0" w:color="auto"/>
            <w:right w:val="none" w:sz="0" w:space="0" w:color="auto"/>
          </w:divBdr>
        </w:div>
        <w:div w:id="2120103423">
          <w:marLeft w:val="634"/>
          <w:marRight w:val="0"/>
          <w:marTop w:val="0"/>
          <w:marBottom w:val="0"/>
          <w:divBdr>
            <w:top w:val="none" w:sz="0" w:space="0" w:color="auto"/>
            <w:left w:val="none" w:sz="0" w:space="0" w:color="auto"/>
            <w:bottom w:val="none" w:sz="0" w:space="0" w:color="auto"/>
            <w:right w:val="none" w:sz="0" w:space="0" w:color="auto"/>
          </w:divBdr>
        </w:div>
        <w:div w:id="1302149781">
          <w:marLeft w:val="1354"/>
          <w:marRight w:val="0"/>
          <w:marTop w:val="0"/>
          <w:marBottom w:val="0"/>
          <w:divBdr>
            <w:top w:val="none" w:sz="0" w:space="0" w:color="auto"/>
            <w:left w:val="none" w:sz="0" w:space="0" w:color="auto"/>
            <w:bottom w:val="none" w:sz="0" w:space="0" w:color="auto"/>
            <w:right w:val="none" w:sz="0" w:space="0" w:color="auto"/>
          </w:divBdr>
        </w:div>
        <w:div w:id="1233126853">
          <w:marLeft w:val="1354"/>
          <w:marRight w:val="0"/>
          <w:marTop w:val="0"/>
          <w:marBottom w:val="0"/>
          <w:divBdr>
            <w:top w:val="none" w:sz="0" w:space="0" w:color="auto"/>
            <w:left w:val="none" w:sz="0" w:space="0" w:color="auto"/>
            <w:bottom w:val="none" w:sz="0" w:space="0" w:color="auto"/>
            <w:right w:val="none" w:sz="0" w:space="0" w:color="auto"/>
          </w:divBdr>
        </w:div>
        <w:div w:id="1914007218">
          <w:marLeft w:val="1354"/>
          <w:marRight w:val="0"/>
          <w:marTop w:val="0"/>
          <w:marBottom w:val="0"/>
          <w:divBdr>
            <w:top w:val="none" w:sz="0" w:space="0" w:color="auto"/>
            <w:left w:val="none" w:sz="0" w:space="0" w:color="auto"/>
            <w:bottom w:val="none" w:sz="0" w:space="0" w:color="auto"/>
            <w:right w:val="none" w:sz="0" w:space="0" w:color="auto"/>
          </w:divBdr>
        </w:div>
      </w:divsChild>
    </w:div>
    <w:div w:id="1381199380">
      <w:bodyDiv w:val="1"/>
      <w:marLeft w:val="0"/>
      <w:marRight w:val="0"/>
      <w:marTop w:val="0"/>
      <w:marBottom w:val="0"/>
      <w:divBdr>
        <w:top w:val="none" w:sz="0" w:space="0" w:color="auto"/>
        <w:left w:val="none" w:sz="0" w:space="0" w:color="auto"/>
        <w:bottom w:val="none" w:sz="0" w:space="0" w:color="auto"/>
        <w:right w:val="none" w:sz="0" w:space="0" w:color="auto"/>
      </w:divBdr>
    </w:div>
    <w:div w:id="1396925913">
      <w:bodyDiv w:val="1"/>
      <w:marLeft w:val="0"/>
      <w:marRight w:val="0"/>
      <w:marTop w:val="0"/>
      <w:marBottom w:val="0"/>
      <w:divBdr>
        <w:top w:val="none" w:sz="0" w:space="0" w:color="auto"/>
        <w:left w:val="none" w:sz="0" w:space="0" w:color="auto"/>
        <w:bottom w:val="none" w:sz="0" w:space="0" w:color="auto"/>
        <w:right w:val="none" w:sz="0" w:space="0" w:color="auto"/>
      </w:divBdr>
    </w:div>
    <w:div w:id="1433012223">
      <w:bodyDiv w:val="1"/>
      <w:marLeft w:val="0"/>
      <w:marRight w:val="0"/>
      <w:marTop w:val="0"/>
      <w:marBottom w:val="0"/>
      <w:divBdr>
        <w:top w:val="none" w:sz="0" w:space="0" w:color="auto"/>
        <w:left w:val="none" w:sz="0" w:space="0" w:color="auto"/>
        <w:bottom w:val="none" w:sz="0" w:space="0" w:color="auto"/>
        <w:right w:val="none" w:sz="0" w:space="0" w:color="auto"/>
      </w:divBdr>
    </w:div>
    <w:div w:id="1523593742">
      <w:bodyDiv w:val="1"/>
      <w:marLeft w:val="0"/>
      <w:marRight w:val="0"/>
      <w:marTop w:val="0"/>
      <w:marBottom w:val="0"/>
      <w:divBdr>
        <w:top w:val="none" w:sz="0" w:space="0" w:color="auto"/>
        <w:left w:val="none" w:sz="0" w:space="0" w:color="auto"/>
        <w:bottom w:val="none" w:sz="0" w:space="0" w:color="auto"/>
        <w:right w:val="none" w:sz="0" w:space="0" w:color="auto"/>
      </w:divBdr>
    </w:div>
    <w:div w:id="1610163905">
      <w:bodyDiv w:val="1"/>
      <w:marLeft w:val="0"/>
      <w:marRight w:val="0"/>
      <w:marTop w:val="0"/>
      <w:marBottom w:val="0"/>
      <w:divBdr>
        <w:top w:val="none" w:sz="0" w:space="0" w:color="auto"/>
        <w:left w:val="none" w:sz="0" w:space="0" w:color="auto"/>
        <w:bottom w:val="none" w:sz="0" w:space="0" w:color="auto"/>
        <w:right w:val="none" w:sz="0" w:space="0" w:color="auto"/>
      </w:divBdr>
    </w:div>
    <w:div w:id="1661496198">
      <w:bodyDiv w:val="1"/>
      <w:marLeft w:val="0"/>
      <w:marRight w:val="0"/>
      <w:marTop w:val="0"/>
      <w:marBottom w:val="0"/>
      <w:divBdr>
        <w:top w:val="none" w:sz="0" w:space="0" w:color="auto"/>
        <w:left w:val="none" w:sz="0" w:space="0" w:color="auto"/>
        <w:bottom w:val="none" w:sz="0" w:space="0" w:color="auto"/>
        <w:right w:val="none" w:sz="0" w:space="0" w:color="auto"/>
      </w:divBdr>
    </w:div>
    <w:div w:id="1687705921">
      <w:bodyDiv w:val="1"/>
      <w:marLeft w:val="0"/>
      <w:marRight w:val="0"/>
      <w:marTop w:val="0"/>
      <w:marBottom w:val="0"/>
      <w:divBdr>
        <w:top w:val="none" w:sz="0" w:space="0" w:color="auto"/>
        <w:left w:val="none" w:sz="0" w:space="0" w:color="auto"/>
        <w:bottom w:val="none" w:sz="0" w:space="0" w:color="auto"/>
        <w:right w:val="none" w:sz="0" w:space="0" w:color="auto"/>
      </w:divBdr>
    </w:div>
    <w:div w:id="1699700425">
      <w:bodyDiv w:val="1"/>
      <w:marLeft w:val="0"/>
      <w:marRight w:val="0"/>
      <w:marTop w:val="0"/>
      <w:marBottom w:val="0"/>
      <w:divBdr>
        <w:top w:val="none" w:sz="0" w:space="0" w:color="auto"/>
        <w:left w:val="none" w:sz="0" w:space="0" w:color="auto"/>
        <w:bottom w:val="none" w:sz="0" w:space="0" w:color="auto"/>
        <w:right w:val="none" w:sz="0" w:space="0" w:color="auto"/>
      </w:divBdr>
    </w:div>
    <w:div w:id="199914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05AF1"/>
    <w:rsid w:val="00092D1C"/>
    <w:rsid w:val="000E7104"/>
    <w:rsid w:val="00146151"/>
    <w:rsid w:val="001C3105"/>
    <w:rsid w:val="00204A7F"/>
    <w:rsid w:val="002077B1"/>
    <w:rsid w:val="002B514B"/>
    <w:rsid w:val="002C0C03"/>
    <w:rsid w:val="002F2413"/>
    <w:rsid w:val="00311B0D"/>
    <w:rsid w:val="00386419"/>
    <w:rsid w:val="003A131F"/>
    <w:rsid w:val="00435556"/>
    <w:rsid w:val="004B023B"/>
    <w:rsid w:val="004C1487"/>
    <w:rsid w:val="00532CE3"/>
    <w:rsid w:val="0055709F"/>
    <w:rsid w:val="00560392"/>
    <w:rsid w:val="00592789"/>
    <w:rsid w:val="005A44FF"/>
    <w:rsid w:val="005D7B42"/>
    <w:rsid w:val="005F06D8"/>
    <w:rsid w:val="006B7FA8"/>
    <w:rsid w:val="006E032D"/>
    <w:rsid w:val="00746B33"/>
    <w:rsid w:val="00793F0E"/>
    <w:rsid w:val="007D0909"/>
    <w:rsid w:val="007F0FD5"/>
    <w:rsid w:val="008211B5"/>
    <w:rsid w:val="00874653"/>
    <w:rsid w:val="00A47E6A"/>
    <w:rsid w:val="00A5022A"/>
    <w:rsid w:val="00AA36DB"/>
    <w:rsid w:val="00AE4C28"/>
    <w:rsid w:val="00AF2C4B"/>
    <w:rsid w:val="00B06612"/>
    <w:rsid w:val="00B54A65"/>
    <w:rsid w:val="00B73964"/>
    <w:rsid w:val="00B74704"/>
    <w:rsid w:val="00BF7289"/>
    <w:rsid w:val="00C43B5F"/>
    <w:rsid w:val="00C808DF"/>
    <w:rsid w:val="00C947B8"/>
    <w:rsid w:val="00CF1C3C"/>
    <w:rsid w:val="00D0496D"/>
    <w:rsid w:val="00D051F5"/>
    <w:rsid w:val="00DA7A26"/>
    <w:rsid w:val="00DF2DC7"/>
    <w:rsid w:val="00E22A26"/>
    <w:rsid w:val="00E50488"/>
    <w:rsid w:val="00E97BB9"/>
    <w:rsid w:val="00EA186F"/>
    <w:rsid w:val="00EB77B4"/>
    <w:rsid w:val="00EC59D9"/>
    <w:rsid w:val="00F64882"/>
    <w:rsid w:val="00F7350A"/>
    <w:rsid w:val="00F83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4882"/>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51DC6107C81411C925B0E8F5734DD92">
    <w:name w:val="651DC6107C81411C925B0E8F5734DD92"/>
    <w:rsid w:val="00F64882"/>
  </w:style>
  <w:style w:type="paragraph" w:customStyle="1" w:styleId="B6E7570F1FC549EEB826217E908009A0">
    <w:name w:val="B6E7570F1FC549EEB826217E908009A0"/>
    <w:rsid w:val="00F648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2019-01-28T00:00:00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45B209-61C9-435B-B9BF-84B63627E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9BBB356-34B9-4B01-BEB8-99F40A84247C}">
  <ds:schemaRefs>
    <ds:schemaRef ds:uri="http://schemas.microsoft.com/sharepoint/v3/contenttype/forms"/>
  </ds:schemaRefs>
</ds:datastoreItem>
</file>

<file path=customXml/itemProps4.xml><?xml version="1.0" encoding="utf-8"?>
<ds:datastoreItem xmlns:ds="http://schemas.openxmlformats.org/officeDocument/2006/customXml" ds:itemID="{AB7B5C78-0803-443E-8E82-2008A0BD47C5}">
  <ds:schemaRef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purl.org/dc/elements/1.1/"/>
    <ds:schemaRef ds:uri="http://purl.org/dc/terms/"/>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7F13F60E-6B32-4335-970C-6C99DF86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1085</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PGECOPUM102</vt:lpstr>
    </vt:vector>
  </TitlesOfParts>
  <Company>Pacific Gas &amp; Electric Company</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PGECOPUM102</dc:title>
  <dc:creator>Jim Wyatt (PG&amp;E);Jason Wang (SCE)</dc:creator>
  <cp:lastModifiedBy>Huang, Jia</cp:lastModifiedBy>
  <cp:revision>3</cp:revision>
  <cp:lastPrinted>2018-01-16T19:18:00Z</cp:lastPrinted>
  <dcterms:created xsi:type="dcterms:W3CDTF">2019-03-04T23:55:00Z</dcterms:created>
  <dcterms:modified xsi:type="dcterms:W3CDTF">2019-03-05T00:02:00Z</dcterms:modified>
  <cp:contentStatus>Revision 8</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